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26F" w:rsidRPr="005B326F" w:rsidRDefault="005B326F" w:rsidP="005B326F">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5B326F" w:rsidRPr="005B326F" w:rsidRDefault="005B326F" w:rsidP="005B326F">
      <w:pPr>
        <w:widowControl w:val="0"/>
        <w:spacing w:after="0" w:line="240" w:lineRule="auto"/>
        <w:jc w:val="center"/>
        <w:outlineLvl w:val="0"/>
        <w:rPr>
          <w:rFonts w:eastAsia="Times New Roman"/>
          <w:b/>
          <w:caps/>
          <w:snapToGrid w:val="0"/>
          <w:sz w:val="28"/>
          <w:szCs w:val="24"/>
          <w:lang w:val="en-US" w:eastAsia="en-US"/>
        </w:rPr>
      </w:pPr>
    </w:p>
    <w:p w:rsidR="005B326F" w:rsidRPr="005B326F" w:rsidRDefault="005B326F" w:rsidP="005B326F">
      <w:pPr>
        <w:widowControl w:val="0"/>
        <w:spacing w:after="0" w:line="240" w:lineRule="auto"/>
        <w:jc w:val="center"/>
        <w:outlineLvl w:val="0"/>
        <w:rPr>
          <w:rFonts w:eastAsia="Times New Roman"/>
          <w:b/>
          <w:caps/>
          <w:snapToGrid w:val="0"/>
          <w:sz w:val="28"/>
          <w:szCs w:val="24"/>
          <w:lang w:val="en-US" w:eastAsia="en-US"/>
        </w:rPr>
      </w:pPr>
      <w:r w:rsidRPr="005B326F">
        <w:rPr>
          <w:rFonts w:eastAsia="Times New Roman"/>
          <w:b/>
          <w:caps/>
          <w:snapToGrid w:val="0"/>
          <w:sz w:val="28"/>
          <w:szCs w:val="24"/>
          <w:lang w:val="en-GB" w:eastAsia="en-US"/>
        </w:rPr>
        <w:t xml:space="preserve">Experimental </w:t>
      </w:r>
      <w:r w:rsidRPr="005B326F">
        <w:rPr>
          <w:rFonts w:eastAsia="Times New Roman" w:hint="eastAsia"/>
          <w:b/>
          <w:caps/>
          <w:snapToGrid w:val="0"/>
          <w:sz w:val="28"/>
          <w:szCs w:val="24"/>
          <w:lang w:val="en-GB" w:eastAsia="en-US"/>
        </w:rPr>
        <w:t>Investigation</w:t>
      </w:r>
      <w:r w:rsidRPr="005B326F">
        <w:rPr>
          <w:rFonts w:eastAsia="Times New Roman"/>
          <w:b/>
          <w:caps/>
          <w:snapToGrid w:val="0"/>
          <w:sz w:val="28"/>
          <w:szCs w:val="24"/>
          <w:lang w:val="en-GB" w:eastAsia="en-US"/>
        </w:rPr>
        <w:t xml:space="preserve"> on transverse steel damper seismic system for cable-stayed bridges under</w:t>
      </w:r>
      <w:bookmarkStart w:id="1" w:name="OLE_LINK3"/>
      <w:bookmarkStart w:id="2" w:name="OLE_LINK4"/>
      <w:r w:rsidRPr="005B326F">
        <w:rPr>
          <w:rFonts w:eastAsia="Times New Roman"/>
          <w:b/>
          <w:caps/>
          <w:snapToGrid w:val="0"/>
          <w:sz w:val="28"/>
          <w:szCs w:val="24"/>
          <w:lang w:val="en-GB" w:eastAsia="en-US"/>
        </w:rPr>
        <w:t xml:space="preserve"> </w:t>
      </w:r>
      <w:bookmarkEnd w:id="1"/>
      <w:bookmarkEnd w:id="2"/>
      <w:r w:rsidRPr="005B326F">
        <w:rPr>
          <w:rFonts w:eastAsia="Times New Roman"/>
          <w:b/>
          <w:caps/>
          <w:snapToGrid w:val="0"/>
          <w:sz w:val="28"/>
          <w:szCs w:val="24"/>
          <w:lang w:val="en-GB" w:eastAsia="en-US"/>
        </w:rPr>
        <w:t>earthquake sequences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5B326F">
        <w:rPr>
          <w:rFonts w:eastAsia="Times New Roman"/>
          <w:b/>
          <w:snapToGrid w:val="0"/>
          <w:color w:val="333333"/>
          <w:sz w:val="28"/>
          <w:szCs w:val="28"/>
          <w:shd w:val="clear" w:color="auto" w:fill="FFFFFF"/>
          <w:lang w:val="en-US" w:eastAsia="en-US"/>
        </w:rPr>
        <w:t xml:space="preserve">DOI </w:t>
      </w:r>
      <w:r w:rsidR="000A00B1">
        <w:rPr>
          <w:rFonts w:eastAsia="Times New Roman"/>
          <w:b/>
          <w:snapToGrid w:val="0"/>
          <w:color w:val="333333"/>
          <w:sz w:val="28"/>
          <w:szCs w:val="28"/>
          <w:shd w:val="clear" w:color="auto" w:fill="FFFFFF"/>
          <w:lang w:val="en-US" w:eastAsia="en-US"/>
        </w:rPr>
        <w:t>10.37153</w:t>
      </w:r>
      <w:r w:rsidRPr="005B326F">
        <w:rPr>
          <w:rFonts w:eastAsia="Times New Roman"/>
          <w:b/>
          <w:snapToGrid w:val="0"/>
          <w:color w:val="333333"/>
          <w:sz w:val="28"/>
          <w:szCs w:val="28"/>
          <w:shd w:val="clear" w:color="auto" w:fill="FFFFFF"/>
          <w:lang w:val="en-US" w:eastAsia="en-US"/>
        </w:rPr>
        <w:t>/2686-7974-2019-16-50-60</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tabs>
          <w:tab w:val="left" w:pos="0"/>
        </w:tabs>
        <w:suppressAutoHyphens/>
        <w:spacing w:after="0" w:line="240" w:lineRule="auto"/>
        <w:jc w:val="center"/>
        <w:rPr>
          <w:rFonts w:eastAsia="Times New Roman"/>
          <w:szCs w:val="24"/>
          <w:lang w:val="en-US" w:eastAsia="en-US"/>
        </w:rPr>
      </w:pPr>
      <w:r w:rsidRPr="005B326F">
        <w:rPr>
          <w:rFonts w:eastAsia="Times New Roman"/>
          <w:szCs w:val="24"/>
          <w:lang w:val="en-US" w:eastAsia="en-US"/>
        </w:rPr>
        <w:t>Aijun Ye</w:t>
      </w:r>
      <w:r w:rsidRPr="005B326F">
        <w:rPr>
          <w:rFonts w:eastAsia="Times New Roman"/>
          <w:szCs w:val="24"/>
          <w:vertAlign w:val="superscript"/>
          <w:lang w:val="en-US" w:eastAsia="en-US"/>
        </w:rPr>
        <w:footnoteReference w:id="1"/>
      </w:r>
      <w:r w:rsidRPr="005B326F">
        <w:rPr>
          <w:rFonts w:eastAsia="Times New Roman"/>
          <w:szCs w:val="24"/>
          <w:lang w:val="en-US" w:eastAsia="en-US"/>
        </w:rPr>
        <w:t>, Lianxu Zhou</w:t>
      </w:r>
      <w:r w:rsidRPr="005B326F">
        <w:rPr>
          <w:rFonts w:eastAsia="Times New Roman"/>
          <w:szCs w:val="24"/>
          <w:vertAlign w:val="superscript"/>
          <w:lang w:val="en-US" w:eastAsia="en-US"/>
        </w:rPr>
        <w:footnoteReference w:id="2"/>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outlineLvl w:val="0"/>
        <w:rPr>
          <w:rFonts w:eastAsia="Times New Roman"/>
          <w:b/>
          <w:caps/>
          <w:snapToGrid w:val="0"/>
          <w:kern w:val="28"/>
          <w:szCs w:val="24"/>
          <w:lang w:val="en-US" w:eastAsia="en-US"/>
        </w:rPr>
      </w:pPr>
      <w:r w:rsidRPr="005B326F">
        <w:rPr>
          <w:rFonts w:eastAsia="Times New Roman"/>
          <w:b/>
          <w:caps/>
          <w:snapToGrid w:val="0"/>
          <w:kern w:val="28"/>
          <w:szCs w:val="24"/>
          <w:lang w:val="en-US" w:eastAsia="en-US"/>
        </w:rPr>
        <w:t>ABSTRACT</w:t>
      </w:r>
    </w:p>
    <w:p w:rsidR="005B326F" w:rsidRPr="005B326F" w:rsidRDefault="005B326F" w:rsidP="005B326F">
      <w:pPr>
        <w:widowControl w:val="0"/>
        <w:tabs>
          <w:tab w:val="left" w:pos="284"/>
          <w:tab w:val="left" w:pos="567"/>
          <w:tab w:val="left" w:pos="720"/>
          <w:tab w:val="left" w:pos="1086"/>
          <w:tab w:val="left" w:pos="1440"/>
        </w:tabs>
        <w:suppressAutoHyphens/>
        <w:spacing w:after="0" w:line="240" w:lineRule="auto"/>
        <w:jc w:val="both"/>
        <w:rPr>
          <w:rFonts w:eastAsia="Times New Roman"/>
          <w:snapToGrid w:val="0"/>
          <w:sz w:val="20"/>
          <w:szCs w:val="24"/>
          <w:lang w:val="en-US" w:eastAsia="en-US"/>
        </w:rPr>
      </w:pPr>
    </w:p>
    <w:p w:rsidR="005B326F" w:rsidRPr="005B326F" w:rsidRDefault="005B326F" w:rsidP="005B326F">
      <w:pPr>
        <w:widowControl w:val="0"/>
        <w:suppressAutoHyphens/>
        <w:spacing w:after="0" w:line="240" w:lineRule="auto"/>
        <w:jc w:val="both"/>
        <w:rPr>
          <w:rFonts w:eastAsia="Times New Roman"/>
          <w:sz w:val="20"/>
          <w:szCs w:val="24"/>
          <w:lang w:val="en-US" w:eastAsia="en-US"/>
        </w:rPr>
      </w:pPr>
      <w:r w:rsidRPr="005B326F">
        <w:rPr>
          <w:rFonts w:eastAsia="Times New Roman"/>
          <w:sz w:val="20"/>
          <w:szCs w:val="24"/>
          <w:lang w:val="en-US" w:eastAsia="en-US"/>
        </w:rPr>
        <w:t xml:space="preserve">The </w:t>
      </w:r>
      <w:bookmarkStart w:id="3" w:name="OLE_LINK29"/>
      <w:bookmarkStart w:id="4" w:name="OLE_LINK30"/>
      <w:r w:rsidRPr="005B326F">
        <w:rPr>
          <w:rFonts w:eastAsia="Times New Roman"/>
          <w:sz w:val="20"/>
          <w:szCs w:val="24"/>
          <w:lang w:val="en-US" w:eastAsia="en-US"/>
        </w:rPr>
        <w:t>conventional transverse fixed system</w:t>
      </w:r>
      <w:bookmarkEnd w:id="3"/>
      <w:bookmarkEnd w:id="4"/>
      <w:r w:rsidRPr="005B326F">
        <w:rPr>
          <w:rFonts w:eastAsia="Times New Roman"/>
          <w:sz w:val="20"/>
          <w:szCs w:val="24"/>
          <w:lang w:val="en-US" w:eastAsia="en-US"/>
        </w:rPr>
        <w:t xml:space="preserve"> for cable-stayed bridges is often adopted in current engineering practices, which inevitably increases seismic demands at bents, towers and foundations. To address this issue and improve the seismic performance of cable-stayed bridges in transverse direction, a novel transverse steel damper seismic system (TSDSS) has been developed. Considering that multiple strong aftershocks may occur shortly after a destructive main shock,</w:t>
      </w:r>
      <w:r w:rsidRPr="005B326F">
        <w:rPr>
          <w:rFonts w:eastAsia="SimSun" w:hint="eastAsia"/>
          <w:sz w:val="20"/>
          <w:szCs w:val="24"/>
          <w:lang w:val="en-US" w:eastAsia="en-US"/>
        </w:rPr>
        <w:t xml:space="preserve"> </w:t>
      </w:r>
      <w:r w:rsidRPr="005B326F">
        <w:rPr>
          <w:rFonts w:eastAsia="Times New Roman"/>
          <w:sz w:val="20"/>
          <w:szCs w:val="24"/>
          <w:lang w:val="en-US" w:eastAsia="en-US"/>
        </w:rPr>
        <w:t>the reliability and seismic performance of TSDSS</w:t>
      </w:r>
      <w:r w:rsidRPr="005B326F">
        <w:rPr>
          <w:rFonts w:eastAsia="SimSun" w:hint="eastAsia"/>
          <w:sz w:val="20"/>
          <w:szCs w:val="24"/>
          <w:lang w:val="en-US" w:eastAsia="en-US"/>
        </w:rPr>
        <w:t xml:space="preserve"> </w:t>
      </w:r>
      <w:r w:rsidRPr="005B326F">
        <w:rPr>
          <w:rFonts w:eastAsia="Times New Roman"/>
          <w:sz w:val="20"/>
          <w:szCs w:val="24"/>
          <w:lang w:val="en-US" w:eastAsia="en-US"/>
        </w:rPr>
        <w:t>under ground motion sequence</w:t>
      </w:r>
      <w:r w:rsidRPr="005B326F">
        <w:rPr>
          <w:rFonts w:eastAsia="SimSun" w:hint="eastAsia"/>
          <w:sz w:val="20"/>
          <w:szCs w:val="24"/>
          <w:lang w:val="en-US" w:eastAsia="en-US"/>
        </w:rPr>
        <w:t>s</w:t>
      </w:r>
      <w:r w:rsidRPr="005B326F">
        <w:rPr>
          <w:rFonts w:eastAsia="Times New Roman"/>
          <w:sz w:val="20"/>
          <w:szCs w:val="24"/>
          <w:lang w:val="en-US" w:eastAsia="en-US"/>
        </w:rPr>
        <w:t xml:space="preserve"> are experimentally studied herein. A series of experiments on a 1/35-scale model of Sutong Bridge with a main span of 1088m are conducted on a four-shake-table testing system</w:t>
      </w:r>
      <w:r w:rsidRPr="005B326F">
        <w:rPr>
          <w:rFonts w:eastAsia="Times New Roman" w:hint="eastAsia"/>
          <w:sz w:val="20"/>
          <w:szCs w:val="24"/>
          <w:lang w:val="en-US" w:eastAsia="en-US"/>
        </w:rPr>
        <w:t>,</w:t>
      </w:r>
      <w:r w:rsidRPr="005B326F">
        <w:rPr>
          <w:rFonts w:eastAsia="Times New Roman"/>
          <w:sz w:val="20"/>
          <w:szCs w:val="24"/>
          <w:lang w:val="en-US" w:eastAsia="en-US"/>
        </w:rPr>
        <w:t xml:space="preserve"> </w:t>
      </w:r>
      <w:r w:rsidRPr="005B326F">
        <w:rPr>
          <w:rFonts w:eastAsia="Times New Roman" w:hint="eastAsia"/>
          <w:sz w:val="20"/>
          <w:szCs w:val="24"/>
          <w:lang w:val="en-US" w:eastAsia="en-US"/>
        </w:rPr>
        <w:t>in</w:t>
      </w:r>
      <w:r w:rsidRPr="005B326F">
        <w:rPr>
          <w:rFonts w:eastAsia="Times New Roman"/>
          <w:sz w:val="20"/>
          <w:szCs w:val="24"/>
          <w:lang w:val="en-US" w:eastAsia="en-US"/>
        </w:rPr>
        <w:t xml:space="preserve"> </w:t>
      </w:r>
      <w:r w:rsidRPr="005B326F">
        <w:rPr>
          <w:rFonts w:eastAsia="Times New Roman" w:hint="eastAsia"/>
          <w:sz w:val="20"/>
          <w:szCs w:val="24"/>
          <w:lang w:val="en-US" w:eastAsia="en-US"/>
        </w:rPr>
        <w:t>which</w:t>
      </w:r>
      <w:r w:rsidRPr="005B326F">
        <w:rPr>
          <w:rFonts w:eastAsia="Times New Roman"/>
          <w:sz w:val="20"/>
          <w:szCs w:val="24"/>
          <w:lang w:val="en-US" w:eastAsia="en-US"/>
        </w:rPr>
        <w:t xml:space="preserve"> two synthetic ground motion sequences are </w:t>
      </w:r>
      <w:r w:rsidRPr="005B326F">
        <w:rPr>
          <w:rFonts w:eastAsia="Times New Roman" w:hint="eastAsia"/>
          <w:sz w:val="20"/>
          <w:szCs w:val="24"/>
          <w:lang w:val="en-US" w:eastAsia="en-US"/>
        </w:rPr>
        <w:t>adopted</w:t>
      </w:r>
      <w:r w:rsidRPr="005B326F">
        <w:rPr>
          <w:rFonts w:eastAsia="Times New Roman"/>
          <w:sz w:val="20"/>
          <w:szCs w:val="24"/>
          <w:lang w:val="en-US" w:eastAsia="en-US"/>
        </w:rPr>
        <w:t xml:space="preserve"> as input. Test results show that (1) TSDSS significantly reduces lateral horizontal force demands at the deck-bent/tower connections, and reduces curvature demands at bent bottoms and along tower shafts, meanwhile limiting the relative displacement at deck-bent/tower connections to an acceptable level for practice. (2) A gradual increase in residual deformations of TSD under ground motion sequences are recorded, but it has little impact on seismic performance of cable-stayed bridges. (3) In general, the TSD</w:t>
      </w:r>
      <w:r w:rsidRPr="005B326F">
        <w:rPr>
          <w:rFonts w:eastAsia="SimSun" w:hint="eastAsia"/>
          <w:sz w:val="20"/>
          <w:szCs w:val="24"/>
          <w:lang w:val="en-US" w:eastAsia="en-US"/>
        </w:rPr>
        <w:t>SS</w:t>
      </w:r>
      <w:r w:rsidRPr="005B326F">
        <w:rPr>
          <w:rFonts w:eastAsia="Times New Roman"/>
          <w:sz w:val="20"/>
          <w:szCs w:val="24"/>
          <w:lang w:val="en-US" w:eastAsia="en-US"/>
        </w:rPr>
        <w:t xml:space="preserve"> is experimentally validated to be a reliable and efficient seismic strategy for cable-stayed bridges.</w:t>
      </w:r>
    </w:p>
    <w:p w:rsidR="005B326F" w:rsidRPr="005B326F" w:rsidRDefault="005B326F" w:rsidP="005B326F">
      <w:pPr>
        <w:widowControl w:val="0"/>
        <w:suppressAutoHyphens/>
        <w:spacing w:after="0" w:line="240" w:lineRule="auto"/>
        <w:jc w:val="both"/>
        <w:rPr>
          <w:rFonts w:eastAsia="Times New Roman"/>
          <w:sz w:val="20"/>
          <w:szCs w:val="24"/>
          <w:lang w:val="en-US" w:eastAsia="en-US"/>
        </w:rPr>
      </w:pPr>
    </w:p>
    <w:p w:rsidR="005B326F" w:rsidRPr="005B326F" w:rsidRDefault="005B326F" w:rsidP="005B326F">
      <w:pPr>
        <w:widowControl w:val="0"/>
        <w:suppressAutoHyphens/>
        <w:spacing w:after="0" w:line="240" w:lineRule="auto"/>
        <w:jc w:val="both"/>
        <w:rPr>
          <w:rFonts w:eastAsia="Times New Roman"/>
          <w:i/>
          <w:sz w:val="20"/>
          <w:szCs w:val="24"/>
          <w:lang w:val="en-US" w:eastAsia="en-US"/>
        </w:rPr>
      </w:pPr>
      <w:r w:rsidRPr="005B326F">
        <w:rPr>
          <w:rFonts w:eastAsia="Times New Roman"/>
          <w:i/>
          <w:sz w:val="20"/>
          <w:szCs w:val="24"/>
          <w:lang w:val="en-US" w:eastAsia="en-US"/>
        </w:rPr>
        <w:t>Keywords: Shake table test; Cable-stayed bridges; Isolation system</w:t>
      </w:r>
      <w:r w:rsidRPr="005B326F">
        <w:rPr>
          <w:rFonts w:eastAsia="Times New Roman" w:hint="eastAsia"/>
          <w:i/>
          <w:sz w:val="20"/>
          <w:szCs w:val="24"/>
          <w:lang w:val="en-US" w:eastAsia="en-US"/>
        </w:rPr>
        <w:t>;</w:t>
      </w:r>
      <w:r w:rsidRPr="005B326F">
        <w:rPr>
          <w:rFonts w:eastAsia="Times New Roman"/>
          <w:i/>
          <w:sz w:val="20"/>
          <w:szCs w:val="24"/>
          <w:lang w:val="en-US" w:eastAsia="en-US"/>
        </w:rPr>
        <w:t xml:space="preserve"> T</w:t>
      </w:r>
      <w:r w:rsidRPr="005B326F">
        <w:rPr>
          <w:rFonts w:eastAsia="Times New Roman" w:hint="eastAsia"/>
          <w:i/>
          <w:sz w:val="20"/>
          <w:szCs w:val="24"/>
          <w:lang w:val="en-US" w:eastAsia="en-US"/>
        </w:rPr>
        <w:t>ransverse steel damper</w:t>
      </w:r>
      <w:r w:rsidRPr="005B326F">
        <w:rPr>
          <w:rFonts w:eastAsia="Times New Roman"/>
          <w:i/>
          <w:sz w:val="20"/>
          <w:szCs w:val="24"/>
          <w:lang w:val="en-US" w:eastAsia="en-US"/>
        </w:rPr>
        <w:t>; Earthquake sequences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suppressAutoHyphens/>
        <w:spacing w:after="0" w:line="240" w:lineRule="auto"/>
        <w:jc w:val="both"/>
        <w:outlineLvl w:val="0"/>
        <w:rPr>
          <w:rFonts w:eastAsia="Calibri"/>
          <w:b/>
          <w:caps/>
          <w:snapToGrid w:val="0"/>
          <w:szCs w:val="24"/>
          <w:lang w:val="en-US" w:eastAsia="en-US" w:bidi="en-US"/>
        </w:rPr>
      </w:pPr>
      <w:r w:rsidRPr="005B326F">
        <w:rPr>
          <w:rFonts w:eastAsia="Calibri"/>
          <w:b/>
          <w:caps/>
          <w:snapToGrid w:val="0"/>
          <w:szCs w:val="24"/>
          <w:lang w:val="en-US" w:eastAsia="en-US" w:bidi="en-US"/>
        </w:rPr>
        <w:t>1. INTRODUCTION</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A considerable number of cable-stayed bridges have been built around the world in the past thirty years. Most of them act as key roles in national or local transportation networks. Due to the considerations of structural importance and the repair difficulty of earthquake-induced damages especially to bridge towers and foundations, these main components of cable-stayed bridges should remain elastic state under design-level earthquakes stipulated in Chinese specification</w:t>
      </w:r>
      <w:r w:rsidRPr="005B326F">
        <w:rPr>
          <w:rFonts w:eastAsia="SimSun" w:hint="eastAsia"/>
          <w:snapToGrid w:val="0"/>
          <w:szCs w:val="24"/>
          <w:lang w:val="en-US" w:eastAsia="en-US"/>
        </w:rPr>
        <w:t>s</w:t>
      </w:r>
      <w:r w:rsidRPr="005B326F">
        <w:rPr>
          <w:rFonts w:eastAsia="Times New Roman"/>
          <w:snapToGrid w:val="0"/>
          <w:szCs w:val="24"/>
          <w:lang w:val="en-US" w:eastAsia="en-US"/>
        </w:rPr>
        <w:t xml:space="preserve"> for seismic design of bridges</w:t>
      </w:r>
      <w:r w:rsidRPr="005B326F">
        <w:rPr>
          <w:rFonts w:eastAsia="Times New Roman"/>
          <w:snapToGrid w:val="0"/>
          <w:szCs w:val="24"/>
          <w:lang w:val="en-US" w:eastAsia="en-US"/>
        </w:rPr>
        <w:fldChar w:fldCharType="begin" w:fldLock="1"/>
      </w:r>
      <w:r w:rsidRPr="005B326F">
        <w:rPr>
          <w:rFonts w:eastAsia="Times New Roman"/>
          <w:snapToGrid w:val="0"/>
          <w:szCs w:val="24"/>
          <w:lang w:val="en-US" w:eastAsia="en-US"/>
        </w:rPr>
        <w:instrText>ADDIN CSL_CITATION {"citationItems":[{"id":"ITEM-1","itemData":{"author":[{"dropping-particle":"","family":"China","given":"Ministry of Housing and Urban-Rural Development of P.R.","non-dropping-particle":"","parse-names":false,"suffix":""}],"id":"ITEM-1","issued":{"date-parts":[["2011"]]},"publisher":"China Architecture &amp; Building Press","publisher-place":"Beijing,China","title":"code for seismic design of urban bridges","type":"book"},"uris":["http://www.mendeley.com/documents/?uuid=2a39ec1b-e38e-447d-8663-1e516a111023"]},{"id":"ITEM-2","itemData":{"id":"ITEM-2","issued":{"date-parts":[["0"]]},"title":"MCPRC (Ministry of Communications of the People’s Republic of China). (2008).Guidelinesforseismicdesignofhighwaybridges,Beijing.","type":"book"},"uris":["http://www.mendeley.com/documents/?uuid=a5c223db-8957-4b0e-a26a-f9f2d020b3ed"]}],"mendeley":{"formattedCitation":"(China 2011; &lt;i&gt;MCPRC (Ministry of Communications of the People’s Republic of China). (2008).Guidelinesforseismicdesignofhighwaybridges,Beijing.&lt;/i&gt; n.d.)","manualFormatting":"(China 2011; MCPRC. 2008)","plainTextFormattedCitation":"(China 2011; MCPRC (Ministry of Communications of the People’s Republic of China). (2008).Guidelinesforseismicdesignofhighwaybridges,Beijing. n.d.)","previouslyFormattedCitation":"(China 2011; &lt;i&gt;MCPRC (Ministry of Communications of the People’s Republic of China). (2008).Guidelinesforseismicdesignofhighwaybridges,Beijing.&lt;/i&gt; n.d.)"},"properties":{"noteIndex":0},"schema":"https://github.com/citation-style-language/schema/raw/master/csl-citation.json"}</w:instrText>
      </w:r>
      <w:r w:rsidRPr="005B326F">
        <w:rPr>
          <w:rFonts w:eastAsia="Times New Roman"/>
          <w:snapToGrid w:val="0"/>
          <w:szCs w:val="24"/>
          <w:lang w:val="en-US" w:eastAsia="en-US"/>
        </w:rPr>
        <w:fldChar w:fldCharType="separate"/>
      </w:r>
      <w:r w:rsidRPr="005B326F">
        <w:rPr>
          <w:rFonts w:eastAsia="Times New Roman"/>
          <w:snapToGrid w:val="0"/>
          <w:szCs w:val="24"/>
          <w:lang w:val="en-US" w:eastAsia="en-US"/>
        </w:rPr>
        <w:t>(China 2011; MCPRC. 2008)</w:t>
      </w:r>
      <w:r w:rsidRPr="005B326F">
        <w:rPr>
          <w:rFonts w:eastAsia="Times New Roman"/>
          <w:snapToGrid w:val="0"/>
          <w:szCs w:val="24"/>
          <w:lang w:val="en-US" w:eastAsia="en-US"/>
        </w:rPr>
        <w:fldChar w:fldCharType="end"/>
      </w:r>
      <w:r w:rsidRPr="005B326F">
        <w:rPr>
          <w:rFonts w:eastAsia="Times New Roman"/>
          <w:snapToGrid w:val="0"/>
          <w:szCs w:val="24"/>
          <w:lang w:val="en-US" w:eastAsia="en-US"/>
        </w:rPr>
        <w:t>. In the longitudinal direction of cable stayed bridges, an excellent seismic performance has been achieved by using</w:t>
      </w:r>
      <w:r w:rsidRPr="005B326F">
        <w:rPr>
          <w:rFonts w:eastAsia="CharisSIL"/>
          <w:snapToGrid w:val="0"/>
          <w:szCs w:val="24"/>
          <w:lang w:val="en-US" w:eastAsia="en-US"/>
        </w:rPr>
        <w:t xml:space="preserve"> </w:t>
      </w:r>
      <w:r w:rsidRPr="005B326F">
        <w:rPr>
          <w:rFonts w:eastAsia="SimSun" w:hint="eastAsia"/>
          <w:snapToGrid w:val="0"/>
          <w:szCs w:val="24"/>
          <w:lang w:val="en-US" w:eastAsia="en-US"/>
        </w:rPr>
        <w:t>F</w:t>
      </w:r>
      <w:r w:rsidRPr="005B326F">
        <w:rPr>
          <w:rFonts w:eastAsia="Times New Roman"/>
          <w:snapToGrid w:val="0"/>
          <w:szCs w:val="24"/>
          <w:lang w:val="en-US" w:eastAsia="en-US"/>
        </w:rPr>
        <w:t xml:space="preserve">luid </w:t>
      </w:r>
      <w:r w:rsidRPr="005B326F">
        <w:rPr>
          <w:rFonts w:eastAsia="SimSun" w:hint="eastAsia"/>
          <w:snapToGrid w:val="0"/>
          <w:szCs w:val="24"/>
          <w:lang w:val="en-US" w:eastAsia="en-US"/>
        </w:rPr>
        <w:t>V</w:t>
      </w:r>
      <w:r w:rsidRPr="005B326F">
        <w:rPr>
          <w:rFonts w:eastAsia="Times New Roman"/>
          <w:snapToGrid w:val="0"/>
          <w:szCs w:val="24"/>
          <w:lang w:val="en-US" w:eastAsia="en-US"/>
        </w:rPr>
        <w:t xml:space="preserve">iscous </w:t>
      </w:r>
      <w:r w:rsidRPr="005B326F">
        <w:rPr>
          <w:rFonts w:eastAsia="SimSun" w:hint="eastAsia"/>
          <w:snapToGrid w:val="0"/>
          <w:szCs w:val="24"/>
          <w:lang w:val="en-US" w:eastAsia="en-US"/>
        </w:rPr>
        <w:t>D</w:t>
      </w:r>
      <w:r w:rsidRPr="005B326F">
        <w:rPr>
          <w:rFonts w:eastAsia="Times New Roman"/>
          <w:snapToGrid w:val="0"/>
          <w:szCs w:val="24"/>
          <w:lang w:val="en-US" w:eastAsia="en-US"/>
        </w:rPr>
        <w:t xml:space="preserve">ampers (FVD) to reduce the shear and bending demands at tower bottoms meanwhile to limit the displacement demands at deck </w:t>
      </w:r>
      <w:r w:rsidRPr="005B326F">
        <w:rPr>
          <w:rFonts w:eastAsia="Times New Roman"/>
          <w:snapToGrid w:val="0"/>
          <w:szCs w:val="24"/>
          <w:lang w:val="en-US" w:eastAsia="en-US"/>
        </w:rPr>
        <w:fldChar w:fldCharType="begin" w:fldLock="1"/>
      </w:r>
      <w:r w:rsidRPr="005B326F">
        <w:rPr>
          <w:rFonts w:eastAsia="Times New Roman"/>
          <w:snapToGrid w:val="0"/>
          <w:szCs w:val="24"/>
          <w:lang w:val="en-US" w:eastAsia="en-US"/>
        </w:rPr>
        <w:instrText>ADDIN CSL_CITATION {"citationItems":[{"id":"ITEM-1","itemData":{"author":[{"dropping-particle":"","family":"Ye A, Hu S.","given":"Fan L.","non-dropping-particle":"","parse-names":false,"suffix":""}],"container-title":"China Civil Engineering Journal","id":"ITEM-1","issue":"37","issued":{"date-parts":[["2004"]]},"page":"38-43","title":"Seismic displacement control for super-long-span cable-stayed bridges","type":"article-journal","volume":"12"},"uris":["http://www.mendeley.com/documents/?uuid=9046f28c-3e27-4192-99c1-b8ccf0242f1b"]},{"id":"ITEM-2","itemData":{"DOI":"10.1016/j.engstruct.2006.03.034","ISSN":"01410296","abstract":"The performance of passive hybrid control systems for the earthquake protection of a cable-stayed bridge under real earthquake ground motion is presented. A simplified lumped mass finite-element model of the Quincy Bay-view Bridge at Illinois is used for the investigation. A viscous fluid damper (VFD) is used as a passive supplemental energy dissipation device in association with elastomeric and sliding isolation systems to form a passive hybrid control system. The effects of non-linear viscous damping of the VFD on the seismic response of an isolated cable-stayed bridge are examined by taking different values of velocity exponent of the damper. Further, the influence of a variation in viscous damping on the response of the isolated bridge is also investigated. The seismic response of the bridge with passive hybrid systems is compared with the corresponding response of the bridge with only isolation systems, as well as with the uncontrolled bridge. The results of the investigation show that the addition of supplemental damping in the form of a viscous fluid damper significantly reduces the earthquake response of an isolated cable-stayed bridge. The non-linear viscous damping is found to be more effective in controlling the peak isolator displacement of the isolated bridge while simultaneously limiting the base shear in towers. © 2006 Elsevier Ltd. All rights reserved.","author":[{"dropping-particle":"","family":"Soneji","given":"B.B.","non-dropping-particle":"","parse-names":false,"suffix":""},{"dropping-particle":"","family":"Jangid","given":"R.S.","non-dropping-particle":"","parse-names":false,"suffix":""}],"container-title":"Engineering Structures","id":"ITEM-2","issue":"1","issued":{"date-parts":[["2007","1"]]},"page":"57-70","title":"Passive hybrid systems for earthquake protection of cable-stayed bridge","type":"article-journal","volume":"29"},"uris":["http://www.mendeley.com/documents/?uuid=44adb996-2d82-4d8f-b4b6-8e6ffb6e5f16"]},{"id":"ITEM-3","itemData":{"DOI":"10.1016/j.engstruct.2015.04.048","ISBN":"0141-0296","ISSN":"1873-7323","abstract":"This paper investigates the seismic performance of an existing steel cable-stayed bridge located in a high seismic zone. In 1988 the structure experienced the failure of one of its anchorage plates needing closure and structural repair as a consequence of seismic activity. In this study, the possibility of retrofitting the original bridge with different passive supplemental damping and seismic isolation systems is proposed and assessed, in order to improve the response of the structure in its longitudinal direction. To this end a Finite Element model of the bridge is developed and the structural response is evaluated through non-linear dynamic response analyses under a set of historical ground motions of different intensities, including a near field record. Strength degradation capabilities are introduced in the model, allowing the occurrence of brittle failure in all the members. Seismic performance indices referred to the dynamic response of the unretrofitted structure and to the results of a pushover analysis are defined and used to compare the proposed innovative solutions. The major improvement on the overall response of the bridge is shown and conclusions regarding the most appropriate retrofit alternative for the particular case study are determined.","author":[{"dropping-particle":"","family":"Martínez-Rodrigo","given":"M. D.","non-dropping-particle":"","parse-names":false,"suffix":""},{"dropping-particle":"","family":"Filiatrault","given":"A.","non-dropping-particle":"","parse-names":false,"suffix":""}],"container-title":"Engineering Structures","id":"ITEM-3","issued":{"date-parts":[["2015"]]},"page":"232-252","title":"A case study on the application of passive control and seismic isolation techniques to cable-stayed bridges: A comparative investigation through non-linear dynamic analyses","type":"article-journal","volume":"99"},"uris":["http://www.mendeley.com/documents/?uuid=bdb06a55-adf7-4b12-9086-56eb6090ebac"]}],"mendeley":{"formattedCitation":"(Martínez-Rodrigo and Filiatrault 2015; Soneji and Jangid 2007; Ye A, Hu S. 2004)","plainTextFormattedCitation":"(Martínez-Rodrigo and Filiatrault 2015; Soneji and Jangid 2007; Ye A, Hu S. 2004)","previouslyFormattedCitation":"(Martínez-Rodrigo and Filiatrault 2015; Soneji and Jangid 2007; Ye A, Hu S. 2004)"},"properties":{"noteIndex":0},"schema":"https://github.com/citation-style-language/schema/raw/master/csl-citation.json"}</w:instrText>
      </w:r>
      <w:r w:rsidRPr="005B326F">
        <w:rPr>
          <w:rFonts w:eastAsia="Times New Roman"/>
          <w:snapToGrid w:val="0"/>
          <w:szCs w:val="24"/>
          <w:lang w:val="en-US" w:eastAsia="en-US"/>
        </w:rPr>
        <w:fldChar w:fldCharType="separate"/>
      </w:r>
      <w:r w:rsidRPr="005B326F">
        <w:rPr>
          <w:rFonts w:eastAsia="Times New Roman"/>
          <w:snapToGrid w:val="0"/>
          <w:szCs w:val="24"/>
          <w:lang w:val="en-US" w:eastAsia="en-US"/>
        </w:rPr>
        <w:t>(Martínez-Rodrigo and Filiatrault 2015; Soneji and Jangid 2007; Ye A, Hu S. 2004)</w:t>
      </w:r>
      <w:r w:rsidRPr="005B326F">
        <w:rPr>
          <w:rFonts w:eastAsia="Times New Roman"/>
          <w:snapToGrid w:val="0"/>
          <w:szCs w:val="24"/>
          <w:lang w:val="en-US" w:eastAsia="en-US"/>
        </w:rPr>
        <w:fldChar w:fldCharType="end"/>
      </w:r>
      <w:r w:rsidRPr="005B326F">
        <w:rPr>
          <w:rFonts w:eastAsia="Times New Roman"/>
          <w:snapToGrid w:val="0"/>
          <w:szCs w:val="24"/>
          <w:lang w:val="en-US" w:eastAsia="en-US"/>
        </w:rPr>
        <w:t>.</w:t>
      </w:r>
      <w:r w:rsidRPr="005B326F">
        <w:rPr>
          <w:rFonts w:eastAsia="SimSun" w:hint="eastAsia"/>
          <w:snapToGrid w:val="0"/>
          <w:szCs w:val="24"/>
          <w:lang w:val="en-US" w:eastAsia="en-US"/>
        </w:rPr>
        <w:t xml:space="preserve"> </w:t>
      </w:r>
      <w:r w:rsidRPr="005B326F">
        <w:rPr>
          <w:rFonts w:eastAsia="SimSun"/>
          <w:snapToGrid w:val="0"/>
          <w:szCs w:val="24"/>
          <w:lang w:val="en-US" w:eastAsia="en-US"/>
        </w:rPr>
        <w:t>I</w:t>
      </w:r>
      <w:r w:rsidRPr="005B326F">
        <w:rPr>
          <w:rFonts w:eastAsia="Times New Roman"/>
          <w:snapToGrid w:val="0"/>
          <w:szCs w:val="24"/>
          <w:lang w:val="en-US" w:eastAsia="en-US"/>
        </w:rPr>
        <w:t>n the transverse direction, however, the conventional transverse fixed system is often adopted in engineering practices.</w:t>
      </w:r>
      <w:r w:rsidRPr="005B326F">
        <w:rPr>
          <w:rFonts w:eastAsia="SimSun" w:hint="eastAsia"/>
          <w:snapToGrid w:val="0"/>
          <w:szCs w:val="24"/>
          <w:lang w:val="en-US" w:eastAsia="en-US"/>
        </w:rPr>
        <w:t xml:space="preserve"> </w:t>
      </w:r>
      <w:r w:rsidRPr="005B326F">
        <w:rPr>
          <w:rFonts w:eastAsia="Times New Roman"/>
          <w:snapToGrid w:val="0"/>
          <w:szCs w:val="24"/>
          <w:lang w:val="en-US" w:eastAsia="en-US"/>
        </w:rPr>
        <w:t xml:space="preserve">In this system, rigid constrains are applied at deck-bent (or pier) and deck-tower connections for providing enough stiffness to carry traffic and wind loads from normal service conditions, which inevitably increases seismic demands at bents, towers and foundations </w:t>
      </w:r>
      <w:r w:rsidRPr="005B326F">
        <w:rPr>
          <w:rFonts w:eastAsia="Times New Roman"/>
          <w:snapToGrid w:val="0"/>
          <w:szCs w:val="24"/>
          <w:lang w:val="en-US" w:eastAsia="en-US"/>
        </w:rPr>
        <w:fldChar w:fldCharType="begin" w:fldLock="1"/>
      </w:r>
      <w:r w:rsidRPr="005B326F">
        <w:rPr>
          <w:rFonts w:eastAsia="Times New Roman"/>
          <w:snapToGrid w:val="0"/>
          <w:szCs w:val="24"/>
          <w:lang w:val="en-US" w:eastAsia="en-US"/>
        </w:rPr>
        <w:instrText>ADDIN CSL_CITATION {"citationItems":[{"id":"ITEM-1","itemData":{"DOI":"10.1007/s11803-015-0049-7","ISSN":"16713664","abstract":"? 2015, Institute of Engineering Mechanics, China Earthquake Administration and Springer-Verlag Berlin Heidelberg.The Sutong Bridge in China opened to traffic in 2008, and is an arterial connection between the cities of Nantong and Suzhou. It is a cable-stayed bridge with a main span of 1,088 m. Due to a tight construction schedule and lack of suitable seismic devices at the time, fixed supports were installed between the piers and the girder in the transverse direction. As a result, significant transverse seismic forces could occur in the piers and foundations, especially during a return period of a 2500-year earthquake. Therefore, the piers, foundations and fixed bearings had to be designed extraordinarily strong. However, when larger earthquakes occur, the bearings, piers and foundations are still vulnerable. The recent rapid developments in seismic technology and the performance-based design approach offer a better opportunity to optimize the transverse seismic design for the Sutong Bridge piers. The optimized design can be applied to the Sutong Bridge (as a retrofit), as well as other bridges. Seismic design alternatives utilizing viscous fluid dampers (VFD), or friction pendulum sliding bearings (FPSB), or transverse yielding metallic dampers (TYMD) are thoroughly studied in this work, and the results are compared with those from the current condition with fixed transverse supports and a hypothetical condition in which only sliding bearings are provided on top of the piers (the girder can move ?freely? in the transverse direction during the earthquake, except for frictional forces of the sliding bearings). Parametric analyses were performed to optimize the design of these proposed seismic devices. From the comparison of the peak bridge responses in these configurations, it was found that both VFD and TYMD are very effective in the reduction of transverse seismic forces in piers, while at the same time keeping the relative transverse displacements between piers and the box girder within acceptable limits. However, compared to VFD, TYMD do not interact with the longitudinal displacements of the girder, and have simpler details and lower initial and maintenance costs. Although the use of FPSB can also reduce seismic forces, it generally causes the transverse relative displacements to be higher than acceptable limits.","author":[{"dropping-particle":"","family":"Shen","given":"Xing","non-dropping-particle":"","parse-names":false,"suffix":""},{"dropping-particle":"","family":"Camara","given":"Alfredo","non-dropping-particle":"","parse-names":false,"suffix":""},{"dropping-particle":"","family":"Ye","given":"Aijun","non-dropping-particle":"","parse-names":false,"suffix":""}],"container-title":"Earthquake Engineering and Engineering Vibration","id":"ITEM-1","issue":"4","issued":{"date-parts":[["2015"]]},"page":"611-623","title":"Effects of seismic devices on transverse responses of piers in the Sutong Bridge","type":"article-journal","volume":"14"},"uris":["http://www.mendeley.com/documents/?uuid=b5e34af7-d811-4761-a827-6d8044a8c601"]},{"id":"ITEM-2","itemData":{"DOI":"10.1016/j.engstruct.2018.10.073","ISSN":"18737323","abstract":"In current transverse seismic design of long span cable-stayed bridges, the conventional transverse fixed system (TFS) is usually adopted. This strategy inevitably increases seismic demands of substructures and towers, leading to high seismic-induced damage risks to the bridges. To address this issue, the authors recently developed a novel Transverse Steel Damper (TSD) and correspondingly proposed an innovative TSD seismic system (TSDSS), in which the TSDs were placed at deck-tower and/or deck-bent connections. To further verify the reliability and seismic isolation efficiency of TSDSS for long span cable-stayed bridges under near- and far-fault ground motions, a series of experiments on a 1/35-scale model of a kilometer-span cable-stayed bridge were conducted on a four-shake-table testing system. Experimental results indicate that (1) compared with the conventional TFS, the TSDSS can reduce transverse displacement and curvature demands along bent/tower columns, meanwhile limiting displacements at deck-bent/tower connections to an acceptable level in engineering practice. (2) The sensitivity of TSDSS to ground motions is obviously lower than that of the conventional TFS. The isolation efficiency of TSDSS is robust regardless under near- or far-fault ground motions; (3) Increasing the yield strength of TSDs can decrease the relative displacements at deck-bent/tower connections. In general, the TSDSS is experimentally validated to be a capable and reliable strategy for the seismic design of long span cable-stayed bridges. Additionally, the shake-table test is simulated using a finite element model, which provides good agreements with the test results.","author":[{"dropping-particle":"","family":"Zhou","given":"Lianxu","non-dropping-particle":"","parse-names":false,"suffix":""},{"dropping-particle":"","family":"Wang","given":"Xiaowei","non-dropping-particle":"","parse-names":false,"suffix":""},{"dropping-particle":"","family":"Ye","given":"Aijun","non-dropping-particle":"","parse-names":false,"suffix":""}],"container-title":"Engineering Structures","id":"ITEM-2","issued":{"date-parts":[["2019"]]},"title":"Shake table test on transverse steel damper seismic system for long span cable-stayed bridges","type":"article-journal"},"uris":["http://www.mendeley.com/documents/?uuid=8e00cd16-ce96-4536-87f0-fbc4e06d156a"]}],"mendeley":{"formattedCitation":"(Shen et al. 2015; Zhou et al. 2019)","plainTextFormattedCitation":"(Shen et al. 2015; Zhou et al. 2019)","previouslyFormattedCitation":"(Shen et al. 2015; Zhou et al. 2019)"},"properties":{"noteIndex":0},"schema":"https://github.com/citation-style-language/schema/raw/master/csl-citation.json"}</w:instrText>
      </w:r>
      <w:r w:rsidRPr="005B326F">
        <w:rPr>
          <w:rFonts w:eastAsia="Times New Roman"/>
          <w:snapToGrid w:val="0"/>
          <w:szCs w:val="24"/>
          <w:lang w:val="en-US" w:eastAsia="en-US"/>
        </w:rPr>
        <w:fldChar w:fldCharType="separate"/>
      </w:r>
      <w:r w:rsidRPr="005B326F">
        <w:rPr>
          <w:rFonts w:eastAsia="Times New Roman"/>
          <w:snapToGrid w:val="0"/>
          <w:szCs w:val="24"/>
          <w:lang w:val="en-US" w:eastAsia="en-US"/>
        </w:rPr>
        <w:t>(Shen et al. 2015; Zhou et al. 2019)</w:t>
      </w:r>
      <w:r w:rsidRPr="005B326F">
        <w:rPr>
          <w:rFonts w:eastAsia="Times New Roman"/>
          <w:snapToGrid w:val="0"/>
          <w:szCs w:val="24"/>
          <w:lang w:val="en-US" w:eastAsia="en-US"/>
        </w:rPr>
        <w:fldChar w:fldCharType="end"/>
      </w:r>
      <w:r w:rsidRPr="005B326F">
        <w:rPr>
          <w:rFonts w:eastAsia="Times New Roman"/>
          <w:snapToGrid w:val="0"/>
          <w:szCs w:val="24"/>
          <w:lang w:val="en-US" w:eastAsia="en-US"/>
        </w:rPr>
        <w:t>. To cover the requirements stipulated in the specifications,</w:t>
      </w:r>
      <w:r w:rsidRPr="005B326F">
        <w:rPr>
          <w:rFonts w:eastAsia="SimSun" w:hint="eastAsia"/>
          <w:snapToGrid w:val="0"/>
          <w:szCs w:val="24"/>
          <w:lang w:val="en-US" w:eastAsia="en-US"/>
        </w:rPr>
        <w:t xml:space="preserve"> </w:t>
      </w:r>
      <w:r w:rsidRPr="005B326F">
        <w:rPr>
          <w:rFonts w:eastAsia="Times New Roman"/>
          <w:snapToGrid w:val="0"/>
          <w:szCs w:val="24"/>
          <w:lang w:val="en-US" w:eastAsia="en-US"/>
        </w:rPr>
        <w:t xml:space="preserve">these components are always designed with sufficient capacity for large seismic excitations, such as increasing section dimensions </w:t>
      </w:r>
      <w:r w:rsidRPr="005B326F">
        <w:rPr>
          <w:rFonts w:eastAsia="Times New Roman"/>
          <w:snapToGrid w:val="0"/>
          <w:szCs w:val="24"/>
          <w:lang w:val="en-US" w:eastAsia="en-US"/>
        </w:rPr>
        <w:lastRenderedPageBreak/>
        <w:t>or reinforcement ratio. This uneconomic strategy renders the demands of transvers</w:t>
      </w:r>
      <w:r w:rsidRPr="005B326F">
        <w:rPr>
          <w:rFonts w:eastAsia="Times New Roman" w:hint="eastAsia"/>
          <w:snapToGrid w:val="0"/>
          <w:szCs w:val="24"/>
          <w:lang w:val="en-US" w:eastAsia="en-US"/>
        </w:rPr>
        <w:t>e</w:t>
      </w:r>
      <w:r w:rsidRPr="005B326F">
        <w:rPr>
          <w:rFonts w:eastAsia="Times New Roman"/>
          <w:snapToGrid w:val="0"/>
          <w:szCs w:val="24"/>
          <w:lang w:val="en-US" w:eastAsia="en-US"/>
        </w:rPr>
        <w:t xml:space="preserve"> isolation systems for cable-stayed bridges.</w:t>
      </w: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SimSun"/>
          <w:snapToGrid w:val="0"/>
          <w:szCs w:val="24"/>
          <w:lang w:val="en-US" w:eastAsia="zh-CN"/>
        </w:rPr>
        <w:t>In recent years, a few transverse seismic systems equipped</w:t>
      </w:r>
      <w:r w:rsidRPr="005B326F">
        <w:rPr>
          <w:rFonts w:eastAsia="SimSun" w:hint="eastAsia"/>
          <w:snapToGrid w:val="0"/>
          <w:szCs w:val="24"/>
          <w:lang w:val="en-US" w:eastAsia="zh-CN"/>
        </w:rPr>
        <w:t xml:space="preserve"> with</w:t>
      </w:r>
      <w:r w:rsidRPr="005B326F">
        <w:rPr>
          <w:rFonts w:eastAsia="SimSun"/>
          <w:snapToGrid w:val="0"/>
          <w:szCs w:val="24"/>
          <w:lang w:val="en-US" w:eastAsia="zh-CN"/>
        </w:rPr>
        <w:t xml:space="preserve"> damping devices have been developed by the researchers to improve the transverse seismic performance of cable-stayed bridges. For example, a transversal seismic protection system, comprising FVDs and fuse restraints, was installed in Rion-Antirion Bridge in Greece to resist extreme earthquakes </w:t>
      </w:r>
      <w:r w:rsidRPr="005B326F">
        <w:rPr>
          <w:rFonts w:eastAsia="SimSun"/>
          <w:snapToGrid w:val="0"/>
          <w:szCs w:val="24"/>
          <w:lang w:val="en-US" w:eastAsia="zh-CN"/>
        </w:rPr>
        <w:fldChar w:fldCharType="begin" w:fldLock="1"/>
      </w:r>
      <w:r w:rsidRPr="005B326F">
        <w:rPr>
          <w:rFonts w:eastAsia="SimSun"/>
          <w:snapToGrid w:val="0"/>
          <w:szCs w:val="24"/>
          <w:lang w:val="en-US" w:eastAsia="zh-CN"/>
        </w:rPr>
        <w:instrText>ADDIN CSL_CITATION {"citationItems":[{"id":"ITEM-1","itemData":{"abstract":"The Rion-Antirion Bridge, that crosses the homonymous strait in Greece, is located in a very active seismic region. The deck of this multi-span cable-stayed bridge is continuous and fully suspended from four pylons (total length of 2252 meters). Its approach viaducts comprise 228m of concrete deck on the Antirion side and 986m of steel composite deck on the Rion side. Said structures are designed to withstand seismic events generating ground accelerations of up to 0.48g through the use of fluid viscous dampers and other seismic devices. The Main Bridge seismic protection system comprises fuse restraints and viscous dampers of dimensions heretofore never built. The same act in parallel, connecting the deck to the pylons. The restrainers are designed as a rigid link intended to withstand high wind loads up to a pre-determined force. Under the action of the design earthquake, fuse restrainers will fail and leave the dampers free to dissipate the earthquake-induced energy acting upon the structure. The Approach Viaducts are seismically isolated utilizing elastomeric isolators and viscous dampers. This paper aims to describe the aforesaid seismic protection systems as well as the results of the extensive full-scale testing they underwent to verify design assumptions. The Damper Prototype tests were performed at the of the University of San Diego California Laboratory (USA), while the Fuse Restraints test and all production tests were carried out at the FIP Industriale Testing Laboratory in Italy.","author":[{"dropping-particle":"","family":"Infanti","given":"Samuele","non-dropping-particle":"","parse-names":false,"suffix":""},{"dropping-particle":"","family":"Papanikolas","given":"P","non-dropping-particle":"","parse-names":false,"suffix":""},{"dropping-particle":"","family":"Benzoni","given":"Gianmario","non-dropping-particle":"","parse-names":false,"suffix":""},{"dropping-particle":"","family":"Castellano","given":"Maria Gabriella","non-dropping-particle":"","parse-names":false,"suffix":""}],"container-title":"Proceedings of the 13th World Conference on Earthquake Engineering","id":"ITEM-1","issue":"2174","issued":{"date-parts":[["2004"]]},"title":"Rion-Antirion Bridge: Design and Full-Scale Testing of the Seismic Protection Devices","type":"paper-conference"},"uris":["http://www.mendeley.com/documents/?uuid=e84e3d86-1c7c-4fea-89fd-829034fe193d"]}],"mendeley":{"formattedCitation":"(Infanti et al. 2004)","plainTextFormattedCitation":"(Infanti et al. 2004)","previouslyFormattedCitation":"(Infanti et al. 2004)"},"properties":{"noteIndex":0},"schema":"https://github.com/citation-style-language/schema/raw/master/csl-citation.json"}</w:instrText>
      </w:r>
      <w:r w:rsidRPr="005B326F">
        <w:rPr>
          <w:rFonts w:eastAsia="SimSun"/>
          <w:snapToGrid w:val="0"/>
          <w:szCs w:val="24"/>
          <w:lang w:val="en-US" w:eastAsia="zh-CN"/>
        </w:rPr>
        <w:fldChar w:fldCharType="separate"/>
      </w:r>
      <w:r w:rsidRPr="005B326F">
        <w:rPr>
          <w:rFonts w:eastAsia="SimSun"/>
          <w:noProof/>
          <w:snapToGrid w:val="0"/>
          <w:szCs w:val="24"/>
          <w:lang w:val="en-US" w:eastAsia="zh-CN"/>
        </w:rPr>
        <w:t>(Infanti et al. 2004)</w:t>
      </w:r>
      <w:r w:rsidRPr="005B326F">
        <w:rPr>
          <w:rFonts w:eastAsia="SimSun"/>
          <w:snapToGrid w:val="0"/>
          <w:szCs w:val="24"/>
          <w:lang w:val="en-US" w:eastAsia="zh-CN"/>
        </w:rPr>
        <w:fldChar w:fldCharType="end"/>
      </w:r>
      <w:r w:rsidRPr="005B326F">
        <w:rPr>
          <w:rFonts w:eastAsia="SimSun"/>
          <w:snapToGrid w:val="0"/>
          <w:szCs w:val="24"/>
          <w:lang w:val="en-US" w:eastAsia="zh-CN"/>
        </w:rPr>
        <w:t>.</w:t>
      </w:r>
      <w:r w:rsidRPr="005B326F">
        <w:rPr>
          <w:rFonts w:eastAsia="SimSun" w:hint="eastAsia"/>
          <w:snapToGrid w:val="0"/>
          <w:szCs w:val="24"/>
          <w:lang w:val="en-US" w:eastAsia="zh-CN"/>
        </w:rPr>
        <w:t xml:space="preserve"> </w:t>
      </w:r>
      <w:r w:rsidRPr="005B326F">
        <w:rPr>
          <w:rFonts w:eastAsia="SimSun"/>
          <w:snapToGrid w:val="0"/>
          <w:szCs w:val="24"/>
          <w:lang w:val="en-US" w:eastAsia="zh-CN"/>
        </w:rPr>
        <w:t xml:space="preserve">Ye et al. </w:t>
      </w:r>
      <w:r w:rsidRPr="005B326F">
        <w:rPr>
          <w:rFonts w:eastAsia="SimSun"/>
          <w:snapToGrid w:val="0"/>
          <w:szCs w:val="24"/>
          <w:lang w:val="en-US" w:eastAsia="zh-CN"/>
        </w:rPr>
        <w:fldChar w:fldCharType="begin" w:fldLock="1"/>
      </w:r>
      <w:r w:rsidRPr="005B326F">
        <w:rPr>
          <w:rFonts w:eastAsia="SimSun"/>
          <w:snapToGrid w:val="0"/>
          <w:szCs w:val="24"/>
          <w:lang w:val="en-US" w:eastAsia="zh-CN"/>
        </w:rPr>
        <w:instrText>ADDIN CSL_CITATION {"citationItems":[{"id":"ITEM-1","itemData":{"author":[{"dropping-particle":"","family":"Ye A, Hu S.","given":"Fan L.","non-dropping-particle":"","parse-names":false,"suffix":""}],"container-title":"China Civil Engineering Journal","id":"ITEM-1","issue":"37","issued":{"date-parts":[["2004"]]},"page":"38-43","title":"Seismic displacement control for super-long-span cable-stayed bridges","type":"article-journal","volume":"12"},"uris":["http://www.mendeley.com/documents/?uuid=9046f28c-3e27-4192-99c1-b8ccf0242f1b"]}],"mendeley":{"formattedCitation":"(Ye A, Hu S. 2004)","plainTextFormattedCitation":"(Ye A, Hu S. 2004)","previouslyFormattedCitation":"(Ye A, Hu S. 2004)"},"properties":{"noteIndex":0},"schema":"https://github.com/citation-style-language/schema/raw/master/csl-citation.json"}</w:instrText>
      </w:r>
      <w:r w:rsidRPr="005B326F">
        <w:rPr>
          <w:rFonts w:eastAsia="SimSun"/>
          <w:snapToGrid w:val="0"/>
          <w:szCs w:val="24"/>
          <w:lang w:val="en-US" w:eastAsia="zh-CN"/>
        </w:rPr>
        <w:fldChar w:fldCharType="separate"/>
      </w:r>
      <w:r w:rsidRPr="005B326F">
        <w:rPr>
          <w:rFonts w:eastAsia="SimSun"/>
          <w:noProof/>
          <w:snapToGrid w:val="0"/>
          <w:szCs w:val="24"/>
          <w:lang w:val="en-US" w:eastAsia="zh-CN"/>
        </w:rPr>
        <w:t>(Ye A, Hu S. 2004)</w:t>
      </w:r>
      <w:r w:rsidRPr="005B326F">
        <w:rPr>
          <w:rFonts w:eastAsia="SimSun"/>
          <w:snapToGrid w:val="0"/>
          <w:szCs w:val="24"/>
          <w:lang w:val="en-US" w:eastAsia="zh-CN"/>
        </w:rPr>
        <w:fldChar w:fldCharType="end"/>
      </w:r>
      <w:r w:rsidRPr="005B326F">
        <w:rPr>
          <w:rFonts w:eastAsia="SimSun"/>
          <w:snapToGrid w:val="0"/>
          <w:szCs w:val="24"/>
          <w:lang w:val="en-US" w:eastAsia="zh-CN"/>
        </w:rPr>
        <w:t xml:space="preserve"> investigated the effectiveness of FVDs placed at deck-piers connections for long span cable-stayed</w:t>
      </w:r>
      <w:r w:rsidRPr="005B326F">
        <w:rPr>
          <w:rFonts w:eastAsia="SimSun" w:hint="eastAsia"/>
          <w:snapToGrid w:val="0"/>
          <w:szCs w:val="24"/>
          <w:lang w:val="en-US" w:eastAsia="zh-CN"/>
        </w:rPr>
        <w:t xml:space="preserve"> </w:t>
      </w:r>
      <w:r w:rsidRPr="005B326F">
        <w:rPr>
          <w:rFonts w:eastAsia="SimSun"/>
          <w:snapToGrid w:val="0"/>
          <w:szCs w:val="24"/>
          <w:lang w:val="en-US" w:eastAsia="zh-CN"/>
        </w:rPr>
        <w:t>bridges.</w:t>
      </w:r>
      <w:r w:rsidRPr="005B326F">
        <w:rPr>
          <w:rFonts w:eastAsia="Times New Roman"/>
          <w:snapToGrid w:val="0"/>
          <w:szCs w:val="24"/>
          <w:lang w:val="en-US" w:eastAsia="en-US"/>
        </w:rPr>
        <w:t xml:space="preserve"> Ismail et al. </w:t>
      </w:r>
      <w:r w:rsidRPr="005B326F">
        <w:rPr>
          <w:rFonts w:eastAsia="Times New Roman"/>
          <w:snapToGrid w:val="0"/>
          <w:szCs w:val="24"/>
          <w:lang w:val="en-US" w:eastAsia="en-US"/>
        </w:rPr>
        <w:fldChar w:fldCharType="begin" w:fldLock="1"/>
      </w:r>
      <w:r w:rsidRPr="005B326F">
        <w:rPr>
          <w:rFonts w:eastAsia="Times New Roman"/>
          <w:snapToGrid w:val="0"/>
          <w:szCs w:val="24"/>
          <w:lang w:val="en-US" w:eastAsia="en-US"/>
        </w:rPr>
        <w:instrText>ADDIN CSL_CITATION {"citationItems":[{"id":"ITEM-1","itemData":{"DOI":"10.1016/j.engstruct.2013.04.007","ISBN":"0141-0296","ISSN":"01410296","abstract":"This paper investigates the near-fault (NF) seismic performance of a recent isolation system, referred to as Roll-N-Cage (RNC) isolator, considering the cable-stayed Bill Emerson Memorial Bridge in Missouri, USA. Under NF ground motion, the seismic isolation devices might perform poorly because of large isolator displacements caused by long-period large velocity and displacement pulses associated with such strong motion. The RNC isolator is designed to achieve a balance in controlling isolator displacement demands and structural accelerations. It provides in a single unit all the necessary functions of rigid support, horizontal flexibility with enhanced stability and energy dissipation characteristics. Moreover, it is distinguished from other isolation devices by two unique features: (1) it has a built-in energy absorbing buffer to limit the isolated deck displacement under severe seismic excitations to a preset value and (2) it has a built-in linear recentering mechanism that prevents residual displacement after earthquakes. The seismic response of the RNC-isolated cable-stayed bridge is investigated using nonlinear time history analysis under three recorded NF earthquakes and three synthetic ground accelerations that capture many of the kinematic characteristics of recorded NF ground motions. The results show that the RNC isolator is a convenient isolation system in protecting cable-stayed bridges against NF earthquakes. © 2013 Elsevier Ltd.","author":[{"dropping-particle":"","family":"Ismail","given":"Mohammed","non-dropping-particle":"","parse-names":false,"suffix":""},{"dropping-particle":"","family":"Casas","given":"Joan R.","non-dropping-particle":"","parse-names":false,"suffix":""},{"dropping-particle":"","family":"Rodellar","given":"José","non-dropping-particle":"","parse-names":false,"suffix":""}],"container-title":"Engineering Structures","id":"ITEM-1","issued":{"date-parts":[["2013"]]},"page":"327-342","publisher":"Elsevier Ltd","title":"Near-fault isolation of cable-stayed bridges using RNC isolator","type":"article-journal","volume":"56"},"uris":["http://www.mendeley.com/documents/?uuid=083380ec-48b5-4c3c-a1cc-0a3680f05054"]}],"mendeley":{"formattedCitation":"(Ismail et al. 2013)","plainTextFormattedCitation":"(Ismail et al. 2013)","previouslyFormattedCitation":"(Ismail et al. 2013)"},"properties":{"noteIndex":0},"schema":"https://github.com/citation-style-language/schema/raw/master/csl-citation.json"}</w:instrText>
      </w:r>
      <w:r w:rsidRPr="005B326F">
        <w:rPr>
          <w:rFonts w:eastAsia="Times New Roman"/>
          <w:snapToGrid w:val="0"/>
          <w:szCs w:val="24"/>
          <w:lang w:val="en-US" w:eastAsia="en-US"/>
        </w:rPr>
        <w:fldChar w:fldCharType="separate"/>
      </w:r>
      <w:r w:rsidRPr="005B326F">
        <w:rPr>
          <w:rFonts w:eastAsia="Times New Roman"/>
          <w:noProof/>
          <w:snapToGrid w:val="0"/>
          <w:szCs w:val="24"/>
          <w:lang w:val="en-US" w:eastAsia="en-US"/>
        </w:rPr>
        <w:t>(Ismail et al. 2013)</w:t>
      </w:r>
      <w:r w:rsidRPr="005B326F">
        <w:rPr>
          <w:rFonts w:eastAsia="Times New Roman"/>
          <w:snapToGrid w:val="0"/>
          <w:szCs w:val="24"/>
          <w:lang w:val="en-US" w:eastAsia="en-US"/>
        </w:rPr>
        <w:fldChar w:fldCharType="end"/>
      </w:r>
      <w:r w:rsidRPr="005B326F">
        <w:rPr>
          <w:rFonts w:eastAsia="Times New Roman"/>
          <w:snapToGrid w:val="0"/>
          <w:szCs w:val="24"/>
          <w:lang w:val="en-US" w:eastAsia="en-US"/>
        </w:rPr>
        <w:t xml:space="preserve"> developed a Roll-N-Cage (RNC) isolator, and investigated the mitigation efficiency </w:t>
      </w:r>
      <w:r w:rsidRPr="005B326F">
        <w:rPr>
          <w:rFonts w:eastAsia="SimSun" w:hint="eastAsia"/>
          <w:snapToGrid w:val="0"/>
          <w:szCs w:val="24"/>
          <w:lang w:val="en-US" w:eastAsia="zh-CN"/>
        </w:rPr>
        <w:t xml:space="preserve">of </w:t>
      </w:r>
      <w:r w:rsidRPr="005B326F">
        <w:rPr>
          <w:rFonts w:eastAsia="Times New Roman"/>
          <w:snapToGrid w:val="0"/>
          <w:szCs w:val="24"/>
          <w:lang w:val="en-US" w:eastAsia="en-US"/>
        </w:rPr>
        <w:t xml:space="preserve">this </w:t>
      </w:r>
      <w:r w:rsidRPr="005B326F">
        <w:rPr>
          <w:rFonts w:eastAsia="SimSun" w:hint="eastAsia"/>
          <w:snapToGrid w:val="0"/>
          <w:szCs w:val="24"/>
          <w:lang w:val="en-US" w:eastAsia="zh-CN"/>
        </w:rPr>
        <w:t xml:space="preserve">type of </w:t>
      </w:r>
      <w:r w:rsidRPr="005B326F">
        <w:rPr>
          <w:rFonts w:eastAsia="Times New Roman"/>
          <w:snapToGrid w:val="0"/>
          <w:szCs w:val="24"/>
          <w:lang w:val="en-US" w:eastAsia="en-US"/>
        </w:rPr>
        <w:t>damper for cable-stayed</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bridges under near-fault</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 xml:space="preserve">earthquakes. Shen et al </w:t>
      </w:r>
      <w:r w:rsidRPr="005B326F">
        <w:rPr>
          <w:rFonts w:eastAsia="Times New Roman"/>
          <w:snapToGrid w:val="0"/>
          <w:szCs w:val="24"/>
          <w:lang w:val="en-US" w:eastAsia="en-US"/>
        </w:rPr>
        <w:fldChar w:fldCharType="begin" w:fldLock="1"/>
      </w:r>
      <w:r w:rsidRPr="005B326F">
        <w:rPr>
          <w:rFonts w:eastAsia="Times New Roman"/>
          <w:snapToGrid w:val="0"/>
          <w:szCs w:val="24"/>
          <w:lang w:val="en-US" w:eastAsia="en-US"/>
        </w:rPr>
        <w:instrText>ADDIN CSL_CITATION {"citationItems":[{"id":"ITEM-1","itemData":{"DOI":"10.1007/s11803-015-0049-7","ISSN":"16713664","abstract":"? 2015, Institute of Engineering Mechanics, China Earthquake Administration and Springer-Verlag Berlin Heidelberg.The Sutong Bridge in China opened to traffic in 2008, and is an arterial connection between the cities of Nantong and Suzhou. It is a cable-stayed bridge with a main span of 1,088 m. Due to a tight construction schedule and lack of suitable seismic devices at the time, fixed supports were installed between the piers and the girder in the transverse direction. As a result, significant transverse seismic forces could occur in the piers and foundations, especially during a return period of a 2500-year earthquake. Therefore, the piers, foundations and fixed bearings had to be designed extraordinarily strong. However, when larger earthquakes occur, the bearings, piers and foundations are still vulnerable. The recent rapid developments in seismic technology and the performance-based design approach offer a better opportunity to optimize the transverse seismic design for the Sutong Bridge piers. The optimized design can be applied to the Sutong Bridge (as a retrofit), as well as other bridges. Seismic design alternatives utilizing viscous fluid dampers (VFD), or friction pendulum sliding bearings (FPSB), or transverse yielding metallic dampers (TYMD) are thoroughly studied in this work, and the results are compared with those from the current condition with fixed transverse supports and a hypothetical condition in which only sliding bearings are provided on top of the piers (the girder can move ?freely? in the transverse direction during the earthquake, except for frictional forces of the sliding bearings). Parametric analyses were performed to optimize the design of these proposed seismic devices. From the comparison of the peak bridge responses in these configurations, it was found that both VFD and TYMD are very effective in the reduction of transverse seismic forces in piers, while at the same time keeping the relative transverse displacements between piers and the box girder within acceptable limits. However, compared to VFD, TYMD do not interact with the longitudinal displacements of the girder, and have simpler details and lower initial and maintenance costs. Although the use of FPSB can also reduce seismic forces, it generally causes the transverse relative displacements to be higher than acceptable limits.","author":[{"dropping-particle":"","family":"Shen","given":"Xing","non-dropping-particle":"","parse-names":false,"suffix":""},{"dropping-particle":"","family":"Camara","given":"Alfredo","non-dropping-particle":"","parse-names":false,"suffix":""},{"dropping-particle":"","family":"Ye","given":"Aijun","non-dropping-particle":"","parse-names":false,"suffix":""}],"container-title":"Earthquake Engineering and Engineering Vibration","id":"ITEM-1","issue":"4","issued":{"date-parts":[["2015"]]},"page":"611-623","title":"Effects of seismic devices on transverse responses of piers in the Sutong Bridge","type":"article-journal","volume":"14"},"uris":["http://www.mendeley.com/documents/?uuid=b5e34af7-d811-4761-a827-6d8044a8c601"]},{"id":"ITEM-2","itemData":{"DOI":"10.1016/j.engstruct.2017.03.014","ISSN":"01410296","abstract":"To provide seismic resistance of long span bridges in transverse direction, fixed bearings are often installed between girders and piers (or towers). Although the fixed bearings and substructures can be designed extraordinarily strong to resist the design seismic loads, they may still be vulnerable when the design seismic loads are exceeded. To address this issue, this paper proposes a novel seismic system, which combines Transverse Steel Dampers (TSDs) with conventional sliding bearings, and is named the TSD seismic system. A TSD consists of several triangular steel plates outfitted with steel hemispheres at their upper vertices. The steel hemispheres not only allow free movements of the superstructures with respect to the piers in the longitudinal direction, but also provide reliable load paths in the transverse direction. Quasi-static tests have been conducted to investigate seismic behaviors of the TSD using two scaled and two prototype specimens. Test results show that the TSD has excellent performance in energy dissipation, large displacements, and synchronization of triangular plates under complex contact conditions. The load-displacement constitutive model of the TSD has been established using a bilinear model in ABAQUS, followed by a design method for the TSD seismic system. A 620 m long-span cable-stayed bridge was selected for a case study of the TSD seismic system. Ground motions recorded at various site conditions were used as seismic inputs. Numerical results show that: (1) the TSD seismic system can achieve a desired balance of transverse seismic displacements and forces, which is not the case when a sliding bearing system (without TSDs) or a fixed bearing system is used; (2) TSDs contribute to most of the energy dissipation capacity of a TSD seismic system while the contribution of sliding bearings is negligible; and (3) the proposed TSD seismic system, compared with a sliding system, tends to be less sensitive to seismic input properties, such as peak ground accelerations and site conditions.","author":[{"dropping-particle":"","family":"Shen","given":"Xing","non-dropping-particle":"","parse-names":false,"suffix":""},{"dropping-particle":"","family":"Wang","given":"Xiaowei","non-dropping-particle":"","parse-names":false,"suffix":""},{"dropping-particle":"","family":"Ye","given":"Qi","non-dropping-particle":"","parse-names":false,"suffix":""},{"dropping-particle":"","family":"Ye","given":"Aijun","non-dropping-particle":"","parse-names":false,"suffix":""}],"container-title":"Engineering Structures","id":"ITEM-2","issued":{"date-parts":[["2017","6"]]},"page":"14-28","title":"Seismic performance of Transverse Steel Damper seismic system for long span bridges","type":"article-journal","volume":"141"},"uris":["http://www.mendeley.com/documents/?uuid=bcde5dce-004f-4dcd-8299-d4ca4e36ee0b"]}],"mendeley":{"formattedCitation":"(Shen et al. 2015, 2017)","plainTextFormattedCitation":"(Shen et al. 2015, 2017)","previouslyFormattedCitation":"(Shen et al. 2015, 2017)"},"properties":{"noteIndex":0},"schema":"https://github.com/citation-style-language/schema/raw/master/csl-citation.json"}</w:instrText>
      </w:r>
      <w:r w:rsidRPr="005B326F">
        <w:rPr>
          <w:rFonts w:eastAsia="Times New Roman"/>
          <w:snapToGrid w:val="0"/>
          <w:szCs w:val="24"/>
          <w:lang w:val="en-US" w:eastAsia="en-US"/>
        </w:rPr>
        <w:fldChar w:fldCharType="separate"/>
      </w:r>
      <w:r w:rsidRPr="005B326F">
        <w:rPr>
          <w:rFonts w:eastAsia="Times New Roman"/>
          <w:noProof/>
          <w:snapToGrid w:val="0"/>
          <w:szCs w:val="24"/>
          <w:lang w:val="en-US" w:eastAsia="en-US"/>
        </w:rPr>
        <w:t>(Shen et al. 2015, 2017)</w:t>
      </w:r>
      <w:r w:rsidRPr="005B326F">
        <w:rPr>
          <w:rFonts w:eastAsia="Times New Roman"/>
          <w:snapToGrid w:val="0"/>
          <w:szCs w:val="24"/>
          <w:lang w:val="en-US" w:eastAsia="en-US"/>
        </w:rPr>
        <w:fldChar w:fldCharType="end"/>
      </w:r>
      <w:r w:rsidRPr="005B326F">
        <w:rPr>
          <w:rFonts w:eastAsia="Times New Roman"/>
          <w:snapToGrid w:val="0"/>
          <w:szCs w:val="24"/>
          <w:lang w:val="en-US" w:eastAsia="en-US"/>
        </w:rPr>
        <w:t xml:space="preserve"> recently developed a Transverse</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Steel Damper (TSD) and proposed a new</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transversal seismic system for long span cable-stayed</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bridges. In this system, the TSDs were transversely placed at deck-bent connections in parallel with sliding bearings, while rigid constrains were still used in the deck-tower connections. The TSD not only possesses excellent energy dissipation capacity but also can freely accommodate the longitudinal movement of deck under the loads form normal service conditions.</w:t>
      </w: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Although several mitigation systems for cable-stayed bridges</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have been proposed using numerical analyses, their feasibility under real ground motions have not</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 xml:space="preserve">been well verified by experiments. In addition, multiple strong aftershocks may occur shortly after a destructive main shock </w:t>
      </w:r>
      <w:r w:rsidRPr="005B326F">
        <w:rPr>
          <w:rFonts w:eastAsia="Times New Roman"/>
          <w:snapToGrid w:val="0"/>
          <w:szCs w:val="24"/>
          <w:lang w:val="en-US" w:eastAsia="en-US"/>
        </w:rPr>
        <w:fldChar w:fldCharType="begin" w:fldLock="1"/>
      </w:r>
      <w:r w:rsidRPr="005B326F">
        <w:rPr>
          <w:rFonts w:eastAsia="Times New Roman"/>
          <w:snapToGrid w:val="0"/>
          <w:szCs w:val="24"/>
          <w:lang w:val="en-US" w:eastAsia="en-US"/>
        </w:rPr>
        <w:instrText>ADDIN CSL_CITATION {"citationItems":[{"id":"ITEM-1","itemData":{"DOI":"10.1016/j.soildyn.2017.03.023","ISSN":"02677261","abstract":"Repeated seismic events strongly affect the building capacity in earthquake-prone regions, as its resilience, intended as the capacity of a system to quickly revert to a fully operational state after a damage due to a significant event, depends on the ability to withstand cumulated damage. This paper investigates the effects of repeated seismic sequences on structures characterized by different hysteretic behaviour. To this aim, non-linear single-degree-of-freedom (SDOF) systems were subjected to ten recorded seismic sequences taken from literature. The elasto-plastic and pivot hysteresis rules were analysed first, considering both hardening and softening behaviour. From each analysis, the inelastic spectrum of the seismic sequence was computed for different ductility levels, and the ductility demand was calculated and compared with the values for an only seismic event. It was shown that the effect of seismic sequences is quite significant, and a reduction of the behaviour factor from 15% for bilinear with hardening and pivot hysteretic rules to 35% for elasto-plastic systems with high ductility should be adopted in design to increase the seismic resilience. The use of linear and non-linear viscous dampers was also analysed in SDOF systems subjected to seismic sequences, demonstrating the effectiveness of this mitigation measure. Nonlinear viscous dampers with an initial friction force were found to dramatically reduce the acceleration and displacement demand, although it cannot avoid residual displacements at the end of the seismic events, and can be recommended for structures with short vibration periods. Nonlinear and linear dampers have the advantage of allowing full recentring of the structure at the end of the seismic events, thus significantly improving resilience.","author":[{"dropping-particle":"","family":"Rinaldin","given":"Giovanni","non-dropping-particle":"","parse-names":false,"suffix":""},{"dropping-particle":"","family":"Amadio","given":"Claudio","non-dropping-particle":"","parse-names":false,"suffix":""},{"dropping-particle":"","family":"Fragiacomo","given":"Massimo","non-dropping-particle":"","parse-names":false,"suffix":""}],"container-title":"Soil Dynamics and Earthquake Engineering","id":"ITEM-1","issued":{"date-parts":[["2017"]]},"page":"205-215","title":"Effects of seismic sequences on structures with hysteretic or damped dissipative behaviour","type":"article-journal","volume":"97"},"uris":["http://www.mendeley.com/documents/?uuid=cfb0d680-8263-48f8-98fd-264d88b8bd75"]}],"mendeley":{"formattedCitation":"(Rinaldin et al. 2017)","plainTextFormattedCitation":"(Rinaldin et al. 2017)","previouslyFormattedCitation":"(Rinaldin et al. 2017)"},"properties":{"noteIndex":0},"schema":"https://github.com/citation-style-language/schema/raw/master/csl-citation.json"}</w:instrText>
      </w:r>
      <w:r w:rsidRPr="005B326F">
        <w:rPr>
          <w:rFonts w:eastAsia="Times New Roman"/>
          <w:snapToGrid w:val="0"/>
          <w:szCs w:val="24"/>
          <w:lang w:val="en-US" w:eastAsia="en-US"/>
        </w:rPr>
        <w:fldChar w:fldCharType="separate"/>
      </w:r>
      <w:r w:rsidRPr="005B326F">
        <w:rPr>
          <w:rFonts w:eastAsia="Times New Roman"/>
          <w:noProof/>
          <w:snapToGrid w:val="0"/>
          <w:szCs w:val="24"/>
          <w:lang w:val="en-US" w:eastAsia="en-US"/>
        </w:rPr>
        <w:t>(Rinaldin et al. 2017)</w:t>
      </w:r>
      <w:r w:rsidRPr="005B326F">
        <w:rPr>
          <w:rFonts w:eastAsia="Times New Roman"/>
          <w:snapToGrid w:val="0"/>
          <w:szCs w:val="24"/>
          <w:lang w:val="en-US" w:eastAsia="en-US"/>
        </w:rPr>
        <w:fldChar w:fldCharType="end"/>
      </w:r>
      <w:r w:rsidRPr="005B326F">
        <w:rPr>
          <w:rFonts w:eastAsia="Times New Roman"/>
          <w:snapToGrid w:val="0"/>
          <w:szCs w:val="24"/>
          <w:lang w:val="en-US" w:eastAsia="en-US"/>
        </w:rPr>
        <w:t>. F</w:t>
      </w:r>
      <w:r w:rsidRPr="005B326F">
        <w:rPr>
          <w:rFonts w:eastAsia="Times New Roman" w:hint="eastAsia"/>
          <w:snapToGrid w:val="0"/>
          <w:szCs w:val="24"/>
          <w:lang w:val="en-US" w:eastAsia="en-US"/>
        </w:rPr>
        <w:t>or</w:t>
      </w:r>
      <w:r w:rsidRPr="005B326F">
        <w:rPr>
          <w:rFonts w:eastAsia="Times New Roman"/>
          <w:snapToGrid w:val="0"/>
          <w:szCs w:val="24"/>
          <w:lang w:val="en-US" w:eastAsia="en-US"/>
        </w:rPr>
        <w:t xml:space="preserve"> example, in the 2016 Kumamoto earthquake, three strong shakings (moment magnitude, </w:t>
      </w:r>
      <w:r w:rsidRPr="005B326F">
        <w:rPr>
          <w:rFonts w:eastAsia="Times New Roman"/>
          <w:i/>
          <w:snapToGrid w:val="0"/>
          <w:szCs w:val="24"/>
          <w:lang w:val="en-US" w:eastAsia="en-US"/>
        </w:rPr>
        <w:t>M</w:t>
      </w:r>
      <w:r w:rsidRPr="005B326F">
        <w:rPr>
          <w:rFonts w:eastAsia="Times New Roman"/>
          <w:i/>
          <w:snapToGrid w:val="0"/>
          <w:szCs w:val="24"/>
          <w:vertAlign w:val="subscript"/>
          <w:lang w:val="en-US" w:eastAsia="en-US"/>
        </w:rPr>
        <w:t>w</w:t>
      </w:r>
      <w:r w:rsidRPr="005B326F">
        <w:rPr>
          <w:rFonts w:eastAsia="Times New Roman"/>
          <w:snapToGrid w:val="0"/>
          <w:szCs w:val="24"/>
          <w:lang w:val="en-US" w:eastAsia="en-US"/>
        </w:rPr>
        <w:t xml:space="preserve"> &gt; 6) occurred in Kyushu Island within only three days </w:t>
      </w:r>
      <w:r w:rsidRPr="005B326F">
        <w:rPr>
          <w:rFonts w:eastAsia="Times New Roman"/>
          <w:snapToGrid w:val="0"/>
          <w:szCs w:val="24"/>
          <w:lang w:val="en-US" w:eastAsia="en-US"/>
        </w:rPr>
        <w:fldChar w:fldCharType="begin" w:fldLock="1"/>
      </w:r>
      <w:r w:rsidRPr="005B326F">
        <w:rPr>
          <w:rFonts w:eastAsia="Times New Roman"/>
          <w:snapToGrid w:val="0"/>
          <w:szCs w:val="24"/>
          <w:lang w:val="en-US" w:eastAsia="en-US"/>
        </w:rPr>
        <w:instrText xml:space="preserve">ADDIN CSL_CITATION {"citationItems":[{"id":"ITEM-1","itemData":{"DOI":"10.2183/pjab.92.359","ISSN":"0386-2208","author":[{"dropping-particle":"","family":"Kato","given":"Aitaro","non-dropping-particle":"","parse-names":false,"suffix":""},{"dropping-particle":"","family":"Nakamura","given":"Kouji","non-dropping-particle":"","parse-names":false,"suffix":""},{"dropping-particle":"","family":"Hiyama","given":"Yohei","non-dropping-particle":"","parse-names":false,"suffix":""}],"container-title":"Proceedings of the Japan Academy, Series B","id":"ITEM-1","issue":"8","issued":{"date-parts":[["2016"]]},"page":"358-371","title":"The 2016 Kumamoto earthquake sequence","type":"article-journal","volume":"92"},"uris":["http://www.mendeley.com/documents/?uuid=535cb8d2-478b-4b39-bcac-74198c0f0c20"]},{"id":"ITEM-2","itemData":{"DOI":"10.1186/s40623-016-0556-4","ISBN":"4062301605564","ISSN":"1880-5981","abstract":"The 2016 Kumamoto–Oita earthquake sequence involving three large events (M w </w:instrText>
      </w:r>
      <w:r w:rsidRPr="005B326F">
        <w:rPr>
          <w:rFonts w:eastAsia="Times New Roman" w:hint="eastAsia"/>
          <w:snapToGrid w:val="0"/>
          <w:szCs w:val="24"/>
          <w:lang w:val="en-US" w:eastAsia="en-US"/>
        </w:rPr>
        <w:instrText>≥</w:instrText>
      </w:r>
      <w:r w:rsidRPr="005B326F">
        <w:rPr>
          <w:rFonts w:eastAsia="Times New Roman"/>
          <w:snapToGrid w:val="0"/>
          <w:szCs w:val="24"/>
          <w:lang w:val="en-US" w:eastAsia="en-US"/>
        </w:rPr>
        <w:instrText xml:space="preserve"> 6) in the central Kyushu Island, southwest Japan, activated seismicities in two volcanic areas with unusual and puzzling spatial gaps after the largest earthquake (M w 7.0) of April 16, 2016. We attempt to reveal the seismic process during the sequence by following seismological data analyses. Our hypocenter relocation result implies that the large events ruptured different faults of a complex fault system. A slip inversion analysis of the largest event indicates a large slip in the seismicity gap (Aso gap) in the caldera of Mt. Aso, which probably released accumulated stress and resulted in little aftershock production. We identified that the largest event dynamically triggered a mid-M6 event at Yufuin (80 km northeast of the epicenter), which is consistent with existence of the 20-km long zone where seismicity was activated and surface offset was observed. These findings will help us study the contribution of the identified complexity in fault geometries and the geotherm in the volcanic areas to the revealed seismic process and consequently improve our understanding of the seismo-volcano tectonics. Graphical abstract (Left) Map view of the fore- and aftershock distribution and the coseismic slip distribution of the mainshock (M w 7.0) indicated by the color image. Circles denote event locations, colored by event depth. The inset shows the fault slip model with its epicenter, indicated by the star. The blue line indicates the rim of the caldera of Mt. Aso based on the peak of the topography. (Middle left) Cross sections of the relocated earthquakes at locations (A–A</w:instrText>
      </w:r>
      <w:r w:rsidRPr="005B326F">
        <w:rPr>
          <w:rFonts w:eastAsia="Times New Roman" w:hint="eastAsia"/>
          <w:snapToGrid w:val="0"/>
          <w:szCs w:val="24"/>
          <w:lang w:val="en-US" w:eastAsia="en-US"/>
        </w:rPr>
        <w:instrText>′</w:instrText>
      </w:r>
      <w:r w:rsidRPr="005B326F">
        <w:rPr>
          <w:rFonts w:eastAsia="Times New Roman"/>
          <w:snapToGrid w:val="0"/>
          <w:szCs w:val="24"/>
          <w:lang w:val="en-US" w:eastAsia="en-US"/>
        </w:rPr>
        <w:instrText xml:space="preserve"> to I–I</w:instrText>
      </w:r>
      <w:r w:rsidRPr="005B326F">
        <w:rPr>
          <w:rFonts w:eastAsia="Times New Roman" w:hint="eastAsia"/>
          <w:snapToGrid w:val="0"/>
          <w:szCs w:val="24"/>
          <w:lang w:val="en-US" w:eastAsia="en-US"/>
        </w:rPr>
        <w:instrText>′</w:instrText>
      </w:r>
      <w:r w:rsidRPr="005B326F">
        <w:rPr>
          <w:rFonts w:eastAsia="Times New Roman"/>
          <w:snapToGrid w:val="0"/>
          <w:szCs w:val="24"/>
          <w:lang w:val="en-US" w:eastAsia="en-US"/>
        </w:rPr>
        <w:instrText>) indicated in the left panel. Blue and red circles are for earthquakes before and after, respectively, the mainshock. Gray lines indicate the fault model for the slip inversion analysis. The brown line on the top of each panel corresponds to the surface trace of active faults (Nakata and Imaizumi in digital active fault map of Japan. University of Tokyo Press, Tokyo, 2002). (Middle right) Map for epicenters (gray circles) and seismic stations (triangles). The epicenter of the triggered event identified in this study marked by the star. Red dots in the inset map denote epicenters of this earthquake sequence and the dotted box indicates the area of the main map. (Right) Vertical component of acceleration seismograms highpass-filtered (HPF) at 16 Hz and sorted by distance from the hypocenter of the mainshoc…","author":[{"dropping-particle":"","family":"Uchide","given":"Takahiko","non-dropping-particle":"","parse-names":false,"suffix":""},{"dropping-particle":"","family":"Horikawa","given":"Haruo","non-dropping-particle":"","parse-names":false,"suffix":""},{"dropping-particle":"","family":"Nakai","given":"Misato","non-dropping-particle":"","parse-names":false,"suffix":""},{"dropping-particle":"","family":"Matsushita","given":"Reiken","non-dropping-particle":"","parse-names":false,"suffix":""},{"dropping-particle":"","family":"Shigematsu","given":"Norio","non-dropping-particle":"","parse-names":false,"suffix":""},{"dropping-particle":"","family":"Ando","given":"Ryosuke","non-dropping-particle":"","parse-names":false,"suffix":""},{"dropping-particle":"","family":"Imanishi","given":"Kazutoshi","non-dropping-particle":"","parse-names":false,"suffix":""}],"container-title":"Earth, Planets and Space","id":"ITEM-2","issue":"1","issued":{"date-parts":[["2016","12","15"]]},"page":"180","publisher":"Springer Berlin Heidelberg","title":"The 2016 Kumamoto–Oita earthquake sequence: aftershock seismicity gap and dynamic triggering in volcanic areas","type":"article-journal","volume":"68"},"uris":["http://www.mendeley.com/documents/?uuid=f937ddcf-fefb-455a-90eb-b5fa9e01e48e"]}],"mendeley":{"formattedCitation":"(Kato et al. 2016; Uchide et al. 2016)","plainTextFormattedCitation":"(Kato et al. 2016; Uchide et al. 2016)","previouslyFormattedCitation":"(Kato et al. 2016; Uchide et al. 2016)"},"properties":{"noteIndex":0},"schema":"https://github.com/citation-style-language/schema/raw/master/csl-citation.json"}</w:instrText>
      </w:r>
      <w:r w:rsidRPr="005B326F">
        <w:rPr>
          <w:rFonts w:eastAsia="Times New Roman"/>
          <w:snapToGrid w:val="0"/>
          <w:szCs w:val="24"/>
          <w:lang w:val="en-US" w:eastAsia="en-US"/>
        </w:rPr>
        <w:fldChar w:fldCharType="separate"/>
      </w:r>
      <w:r w:rsidRPr="005B326F">
        <w:rPr>
          <w:rFonts w:eastAsia="Times New Roman"/>
          <w:noProof/>
          <w:snapToGrid w:val="0"/>
          <w:szCs w:val="24"/>
          <w:lang w:val="en-US" w:eastAsia="en-US"/>
        </w:rPr>
        <w:t>(Kato et al. 2016; Uchide et al. 2016)</w:t>
      </w:r>
      <w:r w:rsidRPr="005B326F">
        <w:rPr>
          <w:rFonts w:eastAsia="Times New Roman"/>
          <w:snapToGrid w:val="0"/>
          <w:szCs w:val="24"/>
          <w:lang w:val="en-US" w:eastAsia="en-US"/>
        </w:rPr>
        <w:fldChar w:fldCharType="end"/>
      </w:r>
      <w:r w:rsidRPr="005B326F">
        <w:rPr>
          <w:rFonts w:eastAsia="Times New Roman"/>
          <w:snapToGrid w:val="0"/>
          <w:szCs w:val="24"/>
          <w:lang w:val="en-US" w:eastAsia="en-US"/>
        </w:rPr>
        <w:t>. Therefore, these dampers in a bridge located in a seismic-prone area may undergo multiple earthquakes in a short time. Note that the supplemental dampers in these isolation systems are usually used to dissipate the earthquake energy. Consequently, the earthquake-induced damages may mainly concent</w:t>
      </w:r>
      <w:r w:rsidRPr="005B326F">
        <w:rPr>
          <w:rFonts w:eastAsia="SimSun" w:hint="eastAsia"/>
          <w:snapToGrid w:val="0"/>
          <w:szCs w:val="24"/>
          <w:lang w:val="en-US" w:eastAsia="zh-CN"/>
        </w:rPr>
        <w:t>rate</w:t>
      </w:r>
      <w:r w:rsidRPr="005B326F">
        <w:rPr>
          <w:rFonts w:eastAsia="Times New Roman"/>
          <w:snapToGrid w:val="0"/>
          <w:szCs w:val="24"/>
          <w:lang w:val="en-US" w:eastAsia="en-US"/>
        </w:rPr>
        <w:t xml:space="preserve"> in these dampers. In general, those impaired dampers may not be replaced immediately in the gaps of such frequently sequential shakings. Therefore, the seismic performance of cable-stayed bridges under multiple earthquake excitations needs to be </w:t>
      </w:r>
      <w:r w:rsidRPr="005B326F">
        <w:rPr>
          <w:rFonts w:eastAsia="Times New Roman" w:hint="eastAsia"/>
          <w:snapToGrid w:val="0"/>
          <w:szCs w:val="24"/>
          <w:lang w:val="en-US" w:eastAsia="en-US"/>
        </w:rPr>
        <w:t>investigated</w:t>
      </w:r>
      <w:r w:rsidRPr="005B326F">
        <w:rPr>
          <w:rFonts w:eastAsia="Times New Roman"/>
          <w:snapToGrid w:val="0"/>
          <w:szCs w:val="24"/>
          <w:lang w:val="en-US" w:eastAsia="en-US"/>
        </w:rPr>
        <w:t xml:space="preserve">; and the reliability of damper devices used as energy dissipation devices </w:t>
      </w:r>
      <w:r w:rsidRPr="005B326F">
        <w:rPr>
          <w:rFonts w:eastAsia="SimSun" w:hint="eastAsia"/>
          <w:snapToGrid w:val="0"/>
          <w:szCs w:val="24"/>
          <w:lang w:val="en-US" w:eastAsia="zh-CN"/>
        </w:rPr>
        <w:t>for</w:t>
      </w:r>
      <w:r w:rsidRPr="005B326F">
        <w:rPr>
          <w:rFonts w:eastAsia="Times New Roman"/>
          <w:snapToGrid w:val="0"/>
          <w:szCs w:val="24"/>
          <w:lang w:val="en-US" w:eastAsia="en-US"/>
        </w:rPr>
        <w:t xml:space="preserve"> cable-stayed bridges under ground motion sequences should be concerned as well.</w:t>
      </w: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This paper aims to</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experimentally verify the mitigation efficiency of</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TSDSS for cable-stayed</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 xml:space="preserve">bridges, and investigate the seismic performance and reliability of TSDSS under ground motion sequences. Shake table tests on a 1/35-scaled model of Sutong Bridge with/without TSDs were conducted on a four-shake-table system in the </w:t>
      </w:r>
      <w:r w:rsidRPr="005B326F">
        <w:rPr>
          <w:rFonts w:eastAsia="Times New Roman"/>
          <w:snapToGrid w:val="0"/>
          <w:szCs w:val="24"/>
          <w:lang w:val="en-CA" w:eastAsia="en-US"/>
        </w:rPr>
        <w:t>Multi-functional Shaking Table Lab at Tongji University, Shanghai, China</w:t>
      </w:r>
      <w:r w:rsidRPr="005B326F">
        <w:rPr>
          <w:rFonts w:eastAsia="Times New Roman" w:hint="eastAsia"/>
          <w:snapToGrid w:val="0"/>
          <w:szCs w:val="24"/>
          <w:lang w:val="en-US" w:eastAsia="en-US"/>
        </w:rPr>
        <w:t>.</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suppressAutoHyphens/>
        <w:spacing w:after="0" w:line="240" w:lineRule="auto"/>
        <w:jc w:val="both"/>
        <w:outlineLvl w:val="0"/>
        <w:rPr>
          <w:rFonts w:eastAsia="Calibri"/>
          <w:b/>
          <w:caps/>
          <w:snapToGrid w:val="0"/>
          <w:szCs w:val="24"/>
          <w:lang w:val="en-US" w:eastAsia="en-US" w:bidi="en-US"/>
        </w:rPr>
      </w:pPr>
      <w:r w:rsidRPr="005B326F">
        <w:rPr>
          <w:rFonts w:eastAsia="Calibri"/>
          <w:b/>
          <w:caps/>
          <w:snapToGrid w:val="0"/>
          <w:szCs w:val="24"/>
          <w:lang w:val="en-US" w:eastAsia="en-US" w:bidi="en-US"/>
        </w:rPr>
        <w:t>2. Description for shake table tests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5B326F">
        <w:rPr>
          <w:rFonts w:eastAsia="Times New Roman"/>
          <w:b/>
          <w:i/>
          <w:snapToGrid w:val="0"/>
          <w:szCs w:val="24"/>
          <w:lang w:val="en-US" w:eastAsia="en-US"/>
        </w:rPr>
        <w:t>2.1 Scale model design</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Sutong Bridge with a main span of 1088 m and two side spans of 500 m (300 +100 +100 m) was taken as a prototype, which is the longest span as-built cable-stayed bridge in China. The total length of this bridge is 2088 m, and the height of twin inverted Y-shaped RC towers is 300 m. FVDs were installed in the longitudinal direction to limit the displacement demands at deck under earthquakes with a return-period of 2500 years, while rigid constrains were adopted at the deck-bent and deck-tower connections. More detailed information can be found in reference</w:t>
      </w:r>
      <w:r w:rsidRPr="005B326F">
        <w:rPr>
          <w:rFonts w:eastAsia="SimSun" w:hint="eastAsia"/>
          <w:snapToGrid w:val="0"/>
          <w:szCs w:val="24"/>
          <w:lang w:val="en-US" w:eastAsia="zh-CN"/>
        </w:rPr>
        <w:t>s</w:t>
      </w:r>
      <w:r w:rsidRPr="005B326F">
        <w:rPr>
          <w:rFonts w:eastAsia="SimSun"/>
          <w:snapToGrid w:val="0"/>
          <w:szCs w:val="24"/>
          <w:lang w:val="en-US" w:eastAsia="zh-CN"/>
        </w:rPr>
        <w:t xml:space="preserve"> </w:t>
      </w:r>
      <w:r w:rsidRPr="005B326F">
        <w:rPr>
          <w:rFonts w:eastAsia="SimSun"/>
          <w:snapToGrid w:val="0"/>
          <w:szCs w:val="24"/>
          <w:lang w:val="en-US" w:eastAsia="zh-CN"/>
        </w:rPr>
        <w:fldChar w:fldCharType="begin" w:fldLock="1"/>
      </w:r>
      <w:r w:rsidRPr="005B326F">
        <w:rPr>
          <w:rFonts w:eastAsia="SimSun"/>
          <w:snapToGrid w:val="0"/>
          <w:szCs w:val="24"/>
          <w:lang w:val="en-US" w:eastAsia="zh-CN"/>
        </w:rPr>
        <w:instrText>ADDIN CSL_CITATION {"citationItems":[{"id":"ITEM-1","itemData":{"DOI":"10.1061/(ASCE)BE.1943-5592.0000394","ISSN":"1084-0702","abstract":"The recent development in structural health monitoring (SHM) technology enables the buffeting responses of bridges to be evaluated in a more realistic manner. In this paper, the buffeting responses of the cable-stayed Sutong Bridge with a main span of 1,088 m is analyzed with the wind spectra used in the design phase and those obtained experimentally from a long-term SHM system to compare the actual buffeting response with design predictions. The autospectra of longitudinal and vertical fluctuating wind components are derived from the in situ strong wind data recorded by the monitoring system. The buffeting analysis is accomplished in the time domain with the aeroelastic effect included. Compared with the buffeting responses obtained from the measured spectrum, the girder responses from the design spectrum are larger in the horizontal direction and smaller in other directions, whereas the tower responses are larger and thus relatively conservative. © 2013 American Society of Civil Engineers.","author":[{"dropping-particle":"","family":"Wang","given":"Hao","non-dropping-particle":"","parse-names":false,"suffix":""},{"dropping-particle":"","family":"Hu","given":"Ruomei","non-dropping-particle":"","parse-names":false,"suffix":""},{"dropping-particle":"","family":"Xie","given":"Jing","non-dropping-particle":"","parse-names":false,"suffix":""},{"dropping-particle":"","family":"Tong","given":"Teng","non-dropping-particle":"","parse-names":false,"suffix":""},{"dropping-particle":"","family":"Li","given":"Aiqun","non-dropping-particle":"","parse-names":false,"suffix":""}],"container-title":"Journal of Bridge Engineering","id":"ITEM-1","issue":"7","issued":{"date-parts":[["2013","7"]]},"page":"587-600","title":"Comparative study on buffeting performance of Sutong Bridge based on design and measured spectrum","type":"article-journal","volume":"18"},"uris":["http://www.mendeley.com/documents/?uuid=1e2b1496-e429-4ff9-b55f-21fec4503ea6"]},{"id":"ITEM-2","itemData":{"DOI":"10.1016/j.engstruct.2018.10.073","ISSN":"18737323","abstract":"In current transverse seismic design of long span cable-stayed bridges, the conventional transverse fixed system (TFS) is usually adopted. This strategy inevitably increases seismic demands of substructures and towers, leading to high seismic-induced damage risks to the bridges. To address this issue, the authors recently developed a novel Transverse Steel Damper (TSD) and correspondingly proposed an innovative TSD seismic system (TSDSS), in which the TSDs were placed at deck-tower and/or deck-bent connections. To further verify the reliability and seismic isolation efficiency of TSDSS for long span cable-stayed bridges under near- and far-fault ground motions, a series of experiments on a 1/35-scale model of a kilometer-span cable-stayed bridge were conducted on a four-shake-table testing system. Experimental results indicate that (1) compared with the conventional TFS, the TSDSS can reduce transverse displacement and curvature demands along bent/tower columns, meanwhile limiting displacements at deck-bent/tower connections to an acceptable level in engineering practice. (2) The sensitivity of TSDSS to ground motions is obviously lower than that of the conventional TFS. The isolation efficiency of TSDSS is robust regardless under near- or far-fault ground motions; (3) Increasing the yield strength of TSDs can decrease the relative displacements at deck-bent/tower connections. In general, the TSDSS is experimentally validated to be a capable and reliable strategy for the seismic design of long span cable-stayed bridges. Additionally, the shake-table test is simulated using a finite element model, which provides good agreements with the test results.","author":[{"dropping-particle":"","family":"Zhou","given":"Lianxu","non-dropping-particle":"","parse-names":false,"suffix":""},{"dropping-particle":"","family":"Wang","given":"Xiaowei","non-dropping-particle":"","parse-names":false,"suffix":""},{"dropping-particle":"","family":"Ye","given":"Aijun","non-dropping-particle":"","parse-names":false,"suffix":""}],"container-title":"Engineering Structures","id":"ITEM-2","issued":{"date-parts":[["2019"]]},"title":"Shake table test on transverse steel damper seismic system for long span cable-stayed bridges","type":"article-journal"},"uris":["http://www.mendeley.com/documents/?uuid=8e00cd16-ce96-4536-87f0-fbc4e06d156a"]}],"mendeley":{"formattedCitation":"(Wang et al. 2013; Zhou et al. 2019)","plainTextFormattedCitation":"(Wang et al. 2013; Zhou et al. 2019)"},"properties":{"noteIndex":0},"schema":"https://github.com/citation-style-language/schema/raw/master/csl-citation.json"}</w:instrText>
      </w:r>
      <w:r w:rsidRPr="005B326F">
        <w:rPr>
          <w:rFonts w:eastAsia="SimSun"/>
          <w:snapToGrid w:val="0"/>
          <w:szCs w:val="24"/>
          <w:lang w:val="en-US" w:eastAsia="zh-CN"/>
        </w:rPr>
        <w:fldChar w:fldCharType="separate"/>
      </w:r>
      <w:r w:rsidRPr="005B326F">
        <w:rPr>
          <w:rFonts w:eastAsia="SimSun"/>
          <w:noProof/>
          <w:snapToGrid w:val="0"/>
          <w:szCs w:val="24"/>
          <w:lang w:val="en-US" w:eastAsia="zh-CN"/>
        </w:rPr>
        <w:t>(Wang et al. 2013; Zhou et al. 2019)</w:t>
      </w:r>
      <w:r w:rsidRPr="005B326F">
        <w:rPr>
          <w:rFonts w:eastAsia="SimSun"/>
          <w:snapToGrid w:val="0"/>
          <w:szCs w:val="24"/>
          <w:lang w:val="en-US" w:eastAsia="zh-CN"/>
        </w:rPr>
        <w:fldChar w:fldCharType="end"/>
      </w:r>
      <w:r w:rsidRPr="005B326F">
        <w:rPr>
          <w:rFonts w:eastAsia="SimSun"/>
          <w:snapToGrid w:val="0"/>
          <w:szCs w:val="24"/>
          <w:lang w:val="en-US" w:eastAsia="zh-CN"/>
        </w:rPr>
        <w:t>.</w:t>
      </w:r>
    </w:p>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Times New Roman"/>
          <w:snapToGrid w:val="0"/>
          <w:szCs w:val="24"/>
          <w:lang w:val="en-US" w:eastAsia="en-US"/>
        </w:rPr>
        <w:t>According to the bearing capacity of shake tables at Tongji University, a scale factor of 1/35 for length was adopted, and then a 1/35-scaled model of Sutong Bridge was designed. Table 1 shows main scale factors used in the test model design. Figure 1 shows details of the scale model. T</w:t>
      </w:r>
      <w:r w:rsidRPr="005B326F">
        <w:rPr>
          <w:rFonts w:eastAsia="Times New Roman" w:hint="eastAsia"/>
          <w:snapToGrid w:val="0"/>
          <w:szCs w:val="24"/>
          <w:lang w:val="en-CA" w:eastAsia="en-US"/>
        </w:rPr>
        <w:t>he total length of the</w:t>
      </w:r>
      <w:r w:rsidRPr="005B326F">
        <w:rPr>
          <w:rFonts w:eastAsia="Times New Roman"/>
          <w:snapToGrid w:val="0"/>
          <w:szCs w:val="24"/>
          <w:lang w:val="en-CA" w:eastAsia="en-US"/>
        </w:rPr>
        <w:t xml:space="preserve"> scale-</w:t>
      </w:r>
      <w:r w:rsidRPr="005B326F">
        <w:rPr>
          <w:rFonts w:eastAsia="Times New Roman" w:hint="eastAsia"/>
          <w:snapToGrid w:val="0"/>
          <w:szCs w:val="24"/>
          <w:lang w:val="en-CA" w:eastAsia="en-US"/>
        </w:rPr>
        <w:t>model is 59.66 m</w:t>
      </w:r>
      <w:r w:rsidRPr="005B326F">
        <w:rPr>
          <w:rFonts w:eastAsia="Times New Roman"/>
          <w:snapToGrid w:val="0"/>
          <w:szCs w:val="24"/>
          <w:lang w:val="en-CA" w:eastAsia="en-US"/>
        </w:rPr>
        <w:t xml:space="preserve">, and </w:t>
      </w:r>
      <w:r w:rsidRPr="005B326F">
        <w:rPr>
          <w:rFonts w:eastAsia="Times New Roman"/>
          <w:snapToGrid w:val="0"/>
          <w:szCs w:val="24"/>
          <w:lang w:val="en-US" w:eastAsia="en-US"/>
        </w:rPr>
        <w:t>the</w:t>
      </w:r>
      <w:r w:rsidRPr="005B326F">
        <w:rPr>
          <w:rFonts w:eastAsia="Times New Roman" w:hint="eastAsia"/>
          <w:snapToGrid w:val="0"/>
          <w:szCs w:val="24"/>
          <w:lang w:val="en-US" w:eastAsia="en-US"/>
        </w:rPr>
        <w:t xml:space="preserve"> height of tower is 8.58 m</w:t>
      </w:r>
      <w:r w:rsidRPr="005B326F">
        <w:rPr>
          <w:rFonts w:eastAsia="Times New Roman" w:hint="eastAsia"/>
          <w:snapToGrid w:val="0"/>
          <w:szCs w:val="24"/>
          <w:lang w:val="en-CA" w:eastAsia="en-US"/>
        </w:rPr>
        <w:t>.</w:t>
      </w:r>
      <w:r w:rsidRPr="005B326F">
        <w:rPr>
          <w:rFonts w:eastAsia="Times New Roman"/>
          <w:snapToGrid w:val="0"/>
          <w:szCs w:val="24"/>
          <w:lang w:val="en-CA" w:eastAsia="en-US"/>
        </w:rPr>
        <w:t xml:space="preserve"> For the experimental </w:t>
      </w:r>
      <w:r w:rsidRPr="005B326F">
        <w:rPr>
          <w:rFonts w:eastAsia="Times New Roman"/>
          <w:snapToGrid w:val="0"/>
          <w:szCs w:val="24"/>
          <w:lang w:val="en-US" w:eastAsia="en-US"/>
        </w:rPr>
        <w:t xml:space="preserve">feasibility, </w:t>
      </w:r>
      <w:r w:rsidRPr="005B326F">
        <w:rPr>
          <w:rFonts w:eastAsia="Times New Roman"/>
          <w:snapToGrid w:val="0"/>
          <w:szCs w:val="24"/>
          <w:lang w:val="en-CA" w:eastAsia="en-US"/>
        </w:rPr>
        <w:t xml:space="preserve">bents and towers of the scale model were directly mounted on four shake tables (A to D) while the soil-structure interaction was ignored herein. According to the similarity of first three-order </w:t>
      </w:r>
      <w:r w:rsidRPr="005B326F">
        <w:rPr>
          <w:rFonts w:eastAsia="Times New Roman"/>
          <w:snapToGrid w:val="0"/>
          <w:szCs w:val="24"/>
          <w:lang w:val="en-US" w:eastAsia="en-US"/>
        </w:rPr>
        <w:t>dynamic characteristics of structure, the number of cables was reduced to 56 pairs from 272 pairs in the prototype bridge. Each cable in the test model was represented</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 xml:space="preserve">by the 7.7-mm-diameter steel wire rope. The dimensions and reinforcements for cross-section of towers and bents were designed according to the similarity </w:t>
      </w:r>
      <w:r w:rsidRPr="005B326F">
        <w:rPr>
          <w:rFonts w:eastAsia="Times New Roman"/>
          <w:snapToGrid w:val="0"/>
          <w:szCs w:val="24"/>
          <w:lang w:val="en-CA" w:eastAsia="en-US"/>
        </w:rPr>
        <w:t xml:space="preserve">of cross-sectional shear and bending capacities. Based on the similarity of cross-sectional bending stiffness along strong and weak axes, the </w:t>
      </w:r>
      <w:r w:rsidRPr="005B326F">
        <w:rPr>
          <w:rFonts w:eastAsia="Times New Roman"/>
          <w:snapToGrid w:val="0"/>
          <w:szCs w:val="24"/>
          <w:lang w:val="en-US" w:eastAsia="en-US"/>
        </w:rPr>
        <w:t>orthotropic steel box girder</w:t>
      </w:r>
      <w:r w:rsidRPr="005B326F">
        <w:rPr>
          <w:rFonts w:eastAsia="Times New Roman"/>
          <w:snapToGrid w:val="0"/>
          <w:szCs w:val="24"/>
          <w:lang w:val="en-CA" w:eastAsia="en-US"/>
        </w:rPr>
        <w:t xml:space="preserve"> in the prototype was represented by a steel box with thickness of 10mm.</w:t>
      </w:r>
      <w:r w:rsidRPr="005B326F">
        <w:rPr>
          <w:rFonts w:eastAsia="SimSun" w:hint="eastAsia"/>
          <w:snapToGrid w:val="0"/>
          <w:szCs w:val="24"/>
          <w:lang w:val="en-CA" w:eastAsia="zh-CN"/>
        </w:rPr>
        <w:t xml:space="preserve"> </w:t>
      </w:r>
      <w:r w:rsidRPr="005B326F">
        <w:rPr>
          <w:rFonts w:eastAsia="SimSun"/>
          <w:snapToGrid w:val="0"/>
          <w:szCs w:val="24"/>
          <w:lang w:val="en-US" w:eastAsia="zh-CN"/>
        </w:rPr>
        <w:t xml:space="preserve">According to the density scale-factor of 10.5, additional masses are needed to achieve the equivalent dead load and inertial force. Table 2 lists the self-weight and the additional mass attached to the tower/bent shafts </w:t>
      </w:r>
      <w:r w:rsidRPr="005B326F">
        <w:rPr>
          <w:rFonts w:eastAsia="SimSun" w:hint="eastAsia"/>
          <w:snapToGrid w:val="0"/>
          <w:szCs w:val="24"/>
          <w:lang w:val="en-US" w:eastAsia="zh-CN"/>
        </w:rPr>
        <w:t>as well as</w:t>
      </w:r>
      <w:r w:rsidRPr="005B326F">
        <w:rPr>
          <w:rFonts w:eastAsia="SimSun"/>
          <w:snapToGrid w:val="0"/>
          <w:szCs w:val="24"/>
          <w:lang w:val="en-US" w:eastAsia="zh-CN"/>
        </w:rPr>
        <w:t xml:space="preserve"> deck. Figure </w:t>
      </w:r>
      <w:r w:rsidRPr="005B326F">
        <w:rPr>
          <w:rFonts w:eastAsia="SimSun"/>
          <w:snapToGrid w:val="0"/>
          <w:szCs w:val="24"/>
          <w:lang w:val="en-US" w:eastAsia="zh-CN"/>
        </w:rPr>
        <w:lastRenderedPageBreak/>
        <w:t>2(a) shows the full-view of the test model.</w:t>
      </w:r>
    </w:p>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To monitor the seismic responses of the bridge</w:t>
      </w:r>
      <w:r w:rsidRPr="005B326F">
        <w:rPr>
          <w:rFonts w:eastAsia="SimSun" w:hint="eastAsia"/>
          <w:snapToGrid w:val="0"/>
          <w:szCs w:val="24"/>
          <w:lang w:val="en-US" w:eastAsia="zh-CN"/>
        </w:rPr>
        <w:t xml:space="preserve"> model</w:t>
      </w:r>
      <w:r w:rsidRPr="005B326F">
        <w:rPr>
          <w:rFonts w:eastAsia="SimSun"/>
          <w:snapToGrid w:val="0"/>
          <w:szCs w:val="24"/>
          <w:lang w:val="en-US" w:eastAsia="zh-CN"/>
        </w:rPr>
        <w:t>, as illustrated in Figure 1, eleven and seven horizontal string potentiometers were arranged along the deck and tower shaft, respectively. The relative displacements at all deck-bent and deck-tower connections were measured by string potentiometers</w:t>
      </w:r>
      <w:r w:rsidRPr="005B326F">
        <w:rPr>
          <w:rFonts w:eastAsia="SimSun" w:hint="eastAsia"/>
          <w:snapToGrid w:val="0"/>
          <w:szCs w:val="24"/>
          <w:lang w:val="en-US" w:eastAsia="zh-CN"/>
        </w:rPr>
        <w:t>,</w:t>
      </w:r>
      <w:r w:rsidRPr="005B326F">
        <w:rPr>
          <w:rFonts w:eastAsia="SimSun"/>
          <w:snapToGrid w:val="0"/>
          <w:szCs w:val="24"/>
          <w:lang w:val="en-US" w:eastAsia="zh-CN"/>
        </w:rPr>
        <w:t xml:space="preserve"> and the force sensors were used to measure forces transferred from deck to bents and towers as shown in Figure 2(b) and (c). In addition, the average section curvature along the</w:t>
      </w:r>
      <w:r w:rsidRPr="005B326F">
        <w:rPr>
          <w:rFonts w:eastAsia="SimSun" w:hint="eastAsia"/>
          <w:snapToGrid w:val="0"/>
          <w:szCs w:val="24"/>
          <w:lang w:val="en-US" w:eastAsia="zh-CN"/>
        </w:rPr>
        <w:t xml:space="preserve"> </w:t>
      </w:r>
      <w:r w:rsidRPr="005B326F">
        <w:rPr>
          <w:rFonts w:eastAsia="SimSun"/>
          <w:snapToGrid w:val="0"/>
          <w:szCs w:val="24"/>
          <w:lang w:val="en-US" w:eastAsia="zh-CN"/>
        </w:rPr>
        <w:t>tower column was monitored by a pair of linear potentiometers placed</w:t>
      </w:r>
      <w:r w:rsidRPr="005B326F">
        <w:rPr>
          <w:rFonts w:eastAsia="SimSun" w:hint="eastAsia"/>
          <w:snapToGrid w:val="0"/>
          <w:szCs w:val="24"/>
          <w:lang w:val="en-US" w:eastAsia="zh-CN"/>
        </w:rPr>
        <w:t xml:space="preserve"> </w:t>
      </w:r>
      <w:r w:rsidRPr="005B326F">
        <w:rPr>
          <w:rFonts w:eastAsia="SimSun"/>
          <w:snapToGrid w:val="0"/>
          <w:szCs w:val="24"/>
          <w:lang w:val="en-US" w:eastAsia="zh-CN"/>
        </w:rPr>
        <w:t>at two opposite faces of the tower column, which can be calculated by Equation (1).</w:t>
      </w:r>
    </w:p>
    <w:p w:rsidR="005B326F" w:rsidRPr="005B326F" w:rsidRDefault="005B326F" w:rsidP="005B326F">
      <w:pPr>
        <w:widowControl w:val="0"/>
        <w:spacing w:after="0" w:line="240" w:lineRule="auto"/>
        <w:jc w:val="both"/>
        <w:rPr>
          <w:rFonts w:eastAsia="SimSun"/>
          <w:snapToGrid w:val="0"/>
          <w:szCs w:val="24"/>
          <w:lang w:val="en-US" w:eastAsia="zh-CN"/>
        </w:rPr>
      </w:pPr>
    </w:p>
    <w:tbl>
      <w:tblPr>
        <w:tblW w:w="0" w:type="auto"/>
        <w:jc w:val="center"/>
        <w:tblLook w:val="04A0" w:firstRow="1" w:lastRow="0" w:firstColumn="1" w:lastColumn="0" w:noHBand="0" w:noVBand="1"/>
      </w:tblPr>
      <w:tblGrid>
        <w:gridCol w:w="9275"/>
        <w:gridCol w:w="579"/>
      </w:tblGrid>
      <w:tr w:rsidR="005B326F" w:rsidRPr="005B326F" w:rsidTr="00FF6B28">
        <w:trPr>
          <w:jc w:val="center"/>
        </w:trPr>
        <w:tc>
          <w:tcPr>
            <w:tcW w:w="9275" w:type="dxa"/>
            <w:vAlign w:val="center"/>
          </w:tcPr>
          <w:p w:rsidR="005B326F" w:rsidRPr="005B326F" w:rsidRDefault="005B326F" w:rsidP="005B326F">
            <w:pPr>
              <w:widowControl w:val="0"/>
              <w:spacing w:after="0" w:line="240" w:lineRule="auto"/>
              <w:rPr>
                <w:rFonts w:eastAsia="Times New Roman"/>
                <w:snapToGrid w:val="0"/>
                <w:szCs w:val="24"/>
                <w:lang w:val="en-US" w:eastAsia="en-US"/>
              </w:rPr>
            </w:pPr>
            <w:r w:rsidRPr="005B326F">
              <w:rPr>
                <w:rFonts w:eastAsia="Calibri"/>
                <w:snapToGrid w:val="0"/>
                <w:position w:val="-22"/>
                <w:szCs w:val="24"/>
                <w:lang w:val="en-US" w:eastAsia="en-US"/>
              </w:rPr>
              <w:object w:dxaOrig="14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28.5pt" o:ole="">
                  <v:imagedata r:id="rId8" o:title=""/>
                </v:shape>
                <o:OLEObject Type="Embed" ProgID="Equation.DSMT4" ShapeID="_x0000_i1025" DrawAspect="Content" ObjectID="_1682348570" r:id="rId9"/>
              </w:object>
            </w:r>
          </w:p>
        </w:tc>
        <w:tc>
          <w:tcPr>
            <w:tcW w:w="579" w:type="dxa"/>
            <w:vAlign w:val="center"/>
          </w:tcPr>
          <w:p w:rsidR="005B326F" w:rsidRPr="005B326F" w:rsidRDefault="005B326F" w:rsidP="005B326F">
            <w:pPr>
              <w:widowControl w:val="0"/>
              <w:spacing w:after="0" w:line="240" w:lineRule="auto"/>
              <w:jc w:val="both"/>
              <w:rPr>
                <w:rFonts w:eastAsia="Times New Roman"/>
                <w:snapToGrid w:val="0"/>
                <w:szCs w:val="24"/>
                <w:lang w:eastAsia="en-US"/>
              </w:rPr>
            </w:pPr>
            <w:r w:rsidRPr="005B326F">
              <w:rPr>
                <w:rFonts w:eastAsia="Times New Roman"/>
                <w:snapToGrid w:val="0"/>
                <w:szCs w:val="24"/>
                <w:lang w:eastAsia="en-US"/>
              </w:rPr>
              <w:t>(1)</w:t>
            </w:r>
          </w:p>
        </w:tc>
      </w:tr>
    </w:tbl>
    <w:p w:rsidR="005B326F" w:rsidRPr="005B326F" w:rsidRDefault="005B326F" w:rsidP="005B326F">
      <w:pPr>
        <w:widowControl w:val="0"/>
        <w:spacing w:after="0" w:line="240" w:lineRule="auto"/>
        <w:jc w:val="both"/>
        <w:rPr>
          <w:rFonts w:eastAsia="SimSun"/>
          <w:snapToGrid w:val="0"/>
          <w:szCs w:val="24"/>
          <w:lang w:val="en-US" w:eastAsia="zh-CN"/>
        </w:rPr>
      </w:pPr>
    </w:p>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 xml:space="preserve">where </w:t>
      </w:r>
      <w:r w:rsidRPr="005B326F">
        <w:rPr>
          <w:rFonts w:eastAsia="Times New Roman"/>
          <w:snapToGrid w:val="0"/>
          <w:position w:val="-6"/>
          <w:szCs w:val="24"/>
          <w:lang w:val="en-US" w:eastAsia="en-US"/>
        </w:rPr>
        <w:object w:dxaOrig="320" w:dyaOrig="260">
          <v:shape id="_x0000_i1026" type="#_x0000_t75" style="width:16.5pt;height:13.5pt" o:ole="">
            <v:imagedata r:id="rId10" o:title=""/>
          </v:shape>
          <o:OLEObject Type="Embed" ProgID="Equation.DSMT4" ShapeID="_x0000_i1026" DrawAspect="Content" ObjectID="_1682348571" r:id="rId11"/>
        </w:object>
      </w:r>
      <w:r w:rsidRPr="005B326F">
        <w:rPr>
          <w:rFonts w:eastAsia="SimSun"/>
          <w:i/>
          <w:iCs/>
          <w:snapToGrid w:val="0"/>
          <w:szCs w:val="24"/>
          <w:lang w:val="en-US" w:eastAsia="zh-CN"/>
        </w:rPr>
        <w:t xml:space="preserve"> </w:t>
      </w:r>
      <w:r w:rsidRPr="005B326F">
        <w:rPr>
          <w:rFonts w:eastAsia="SimSun"/>
          <w:snapToGrid w:val="0"/>
          <w:szCs w:val="24"/>
          <w:lang w:val="en-US" w:eastAsia="zh-CN"/>
        </w:rPr>
        <w:t>is deformation difference between the two linear potentiometers;</w:t>
      </w:r>
      <w:r w:rsidRPr="005B326F">
        <w:rPr>
          <w:rFonts w:eastAsia="SimSun" w:hint="eastAsia"/>
          <w:snapToGrid w:val="0"/>
          <w:szCs w:val="24"/>
          <w:lang w:val="en-US" w:eastAsia="zh-CN"/>
        </w:rPr>
        <w:t xml:space="preserve"> </w:t>
      </w:r>
      <w:r w:rsidRPr="005B326F">
        <w:rPr>
          <w:rFonts w:eastAsia="SimSun"/>
          <w:i/>
          <w:iCs/>
          <w:snapToGrid w:val="0"/>
          <w:szCs w:val="24"/>
          <w:lang w:val="en-US" w:eastAsia="zh-CN"/>
        </w:rPr>
        <w:t xml:space="preserve">l </w:t>
      </w:r>
      <w:r w:rsidRPr="005B326F">
        <w:rPr>
          <w:rFonts w:eastAsia="SimSun"/>
          <w:snapToGrid w:val="0"/>
          <w:szCs w:val="24"/>
          <w:lang w:val="en-US" w:eastAsia="zh-CN"/>
        </w:rPr>
        <w:t xml:space="preserve">is the vertical length of the measured region; </w:t>
      </w:r>
      <w:r w:rsidRPr="005B326F">
        <w:rPr>
          <w:rFonts w:eastAsia="Times New Roman"/>
          <w:snapToGrid w:val="0"/>
          <w:position w:val="-6"/>
          <w:szCs w:val="24"/>
          <w:lang w:val="en-US" w:eastAsia="en-US"/>
        </w:rPr>
        <w:object w:dxaOrig="340" w:dyaOrig="260">
          <v:shape id="_x0000_i1027" type="#_x0000_t75" style="width:19.5pt;height:13.5pt" o:ole="">
            <v:imagedata r:id="rId12" o:title=""/>
          </v:shape>
          <o:OLEObject Type="Embed" ProgID="Equation.DSMT4" ShapeID="_x0000_i1027" DrawAspect="Content" ObjectID="_1682348572" r:id="rId13"/>
        </w:object>
      </w:r>
      <w:r w:rsidRPr="005B326F">
        <w:rPr>
          <w:rFonts w:eastAsia="SimSun"/>
          <w:i/>
          <w:iCs/>
          <w:snapToGrid w:val="0"/>
          <w:szCs w:val="24"/>
          <w:lang w:val="en-US" w:eastAsia="zh-CN"/>
        </w:rPr>
        <w:t xml:space="preserve"> </w:t>
      </w:r>
      <w:r w:rsidRPr="005B326F">
        <w:rPr>
          <w:rFonts w:eastAsia="SimSun"/>
          <w:snapToGrid w:val="0"/>
          <w:szCs w:val="24"/>
          <w:lang w:val="en-US" w:eastAsia="zh-CN"/>
        </w:rPr>
        <w:t>is the horizontal</w:t>
      </w:r>
      <w:r w:rsidRPr="005B326F">
        <w:rPr>
          <w:rFonts w:eastAsia="SimSun" w:hint="eastAsia"/>
          <w:snapToGrid w:val="0"/>
          <w:szCs w:val="24"/>
          <w:lang w:val="en-US" w:eastAsia="zh-CN"/>
        </w:rPr>
        <w:t xml:space="preserve"> </w:t>
      </w:r>
      <w:r w:rsidRPr="005B326F">
        <w:rPr>
          <w:rFonts w:eastAsia="SimSun"/>
          <w:snapToGrid w:val="0"/>
          <w:szCs w:val="24"/>
          <w:lang w:val="en-US" w:eastAsia="zh-CN"/>
        </w:rPr>
        <w:t>distance between the two potentiometers.</w:t>
      </w:r>
    </w:p>
    <w:p w:rsidR="005B326F" w:rsidRPr="005B326F" w:rsidRDefault="005B326F" w:rsidP="005B326F">
      <w:pPr>
        <w:widowControl w:val="0"/>
        <w:spacing w:after="0" w:line="240" w:lineRule="auto"/>
        <w:jc w:val="both"/>
        <w:rPr>
          <w:rFonts w:eastAsia="SimSun"/>
          <w:snapToGrid w:val="0"/>
          <w:szCs w:val="24"/>
          <w:lang w:val="en-CA" w:eastAsia="zh-CN"/>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Table 1. Main scale factor for bridge model design.</w:t>
      </w:r>
    </w:p>
    <w:p w:rsidR="005B326F" w:rsidRPr="005B326F" w:rsidRDefault="005B326F" w:rsidP="005B326F">
      <w:pPr>
        <w:widowControl w:val="0"/>
        <w:spacing w:after="0" w:line="240" w:lineRule="auto"/>
        <w:jc w:val="both"/>
        <w:rPr>
          <w:rFonts w:eastAsia="Times New Roman"/>
          <w:snapToGrid w:val="0"/>
          <w:szCs w:val="24"/>
          <w:lang w:val="en-US" w:eastAsia="en-US"/>
        </w:rPr>
      </w:pPr>
    </w:p>
    <w:tbl>
      <w:tblPr>
        <w:tblW w:w="8305" w:type="dxa"/>
        <w:jc w:val="center"/>
        <w:tblBorders>
          <w:top w:val="single" w:sz="6" w:space="0" w:color="auto"/>
          <w:bottom w:val="single" w:sz="6" w:space="0" w:color="auto"/>
        </w:tblBorders>
        <w:tblLook w:val="04A0" w:firstRow="1" w:lastRow="0" w:firstColumn="1" w:lastColumn="0" w:noHBand="0" w:noVBand="1"/>
      </w:tblPr>
      <w:tblGrid>
        <w:gridCol w:w="1904"/>
        <w:gridCol w:w="1007"/>
        <w:gridCol w:w="1126"/>
        <w:gridCol w:w="1068"/>
        <w:gridCol w:w="1570"/>
        <w:gridCol w:w="1630"/>
      </w:tblGrid>
      <w:tr w:rsidR="005B326F" w:rsidRPr="005B326F" w:rsidTr="00FF6B28">
        <w:trPr>
          <w:jc w:val="center"/>
        </w:trPr>
        <w:tc>
          <w:tcPr>
            <w:tcW w:w="1904" w:type="dxa"/>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en-US"/>
              </w:rPr>
            </w:pPr>
            <w:r w:rsidRPr="005B326F">
              <w:rPr>
                <w:rFonts w:eastAsia="Times New Roman"/>
                <w:b/>
                <w:snapToGrid w:val="0"/>
                <w:szCs w:val="24"/>
                <w:lang w:val="en-US" w:eastAsia="en-US"/>
              </w:rPr>
              <w:t>Physical quantity</w:t>
            </w:r>
          </w:p>
        </w:tc>
        <w:tc>
          <w:tcPr>
            <w:tcW w:w="1007" w:type="dxa"/>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b/>
                <w:snapToGrid w:val="0"/>
                <w:szCs w:val="24"/>
                <w:lang w:val="en-US" w:eastAsia="zh-CN"/>
              </w:rPr>
            </w:pPr>
            <w:r w:rsidRPr="005B326F">
              <w:rPr>
                <w:rFonts w:eastAsia="Times New Roman"/>
                <w:b/>
                <w:snapToGrid w:val="0"/>
                <w:szCs w:val="24"/>
                <w:lang w:val="en-US" w:eastAsia="zh-CN"/>
              </w:rPr>
              <w:t xml:space="preserve">Length </w:t>
            </w:r>
          </w:p>
        </w:tc>
        <w:tc>
          <w:tcPr>
            <w:tcW w:w="1126" w:type="dxa"/>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b/>
                <w:snapToGrid w:val="0"/>
                <w:szCs w:val="24"/>
                <w:lang w:val="en-US" w:eastAsia="zh-CN"/>
              </w:rPr>
            </w:pPr>
            <w:r w:rsidRPr="005B326F">
              <w:rPr>
                <w:rFonts w:eastAsia="Times New Roman"/>
                <w:b/>
                <w:snapToGrid w:val="0"/>
                <w:szCs w:val="24"/>
                <w:lang w:val="en-US" w:eastAsia="zh-CN"/>
              </w:rPr>
              <w:t>mass</w:t>
            </w:r>
          </w:p>
        </w:tc>
        <w:tc>
          <w:tcPr>
            <w:tcW w:w="1068" w:type="dxa"/>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b/>
                <w:snapToGrid w:val="0"/>
                <w:szCs w:val="24"/>
                <w:lang w:val="en-US" w:eastAsia="zh-CN"/>
              </w:rPr>
            </w:pPr>
            <w:r w:rsidRPr="005B326F">
              <w:rPr>
                <w:rFonts w:eastAsia="Times New Roman"/>
                <w:b/>
                <w:snapToGrid w:val="0"/>
                <w:szCs w:val="24"/>
                <w:lang w:val="en-US" w:eastAsia="zh-CN"/>
              </w:rPr>
              <w:t>Time</w:t>
            </w:r>
          </w:p>
        </w:tc>
        <w:tc>
          <w:tcPr>
            <w:tcW w:w="1570" w:type="dxa"/>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b/>
                <w:snapToGrid w:val="0"/>
                <w:szCs w:val="24"/>
                <w:lang w:val="en-US" w:eastAsia="zh-CN"/>
              </w:rPr>
            </w:pPr>
            <w:r w:rsidRPr="005B326F">
              <w:rPr>
                <w:rFonts w:eastAsia="Times New Roman"/>
                <w:b/>
                <w:snapToGrid w:val="0"/>
                <w:szCs w:val="24"/>
                <w:lang w:val="en-US" w:eastAsia="zh-CN"/>
              </w:rPr>
              <w:t>Elastic models</w:t>
            </w:r>
          </w:p>
        </w:tc>
        <w:tc>
          <w:tcPr>
            <w:tcW w:w="1630" w:type="dxa"/>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b/>
                <w:snapToGrid w:val="0"/>
                <w:szCs w:val="24"/>
                <w:lang w:val="en-US" w:eastAsia="zh-CN"/>
              </w:rPr>
            </w:pPr>
            <w:r w:rsidRPr="005B326F">
              <w:rPr>
                <w:rFonts w:eastAsia="Times New Roman"/>
                <w:b/>
                <w:snapToGrid w:val="0"/>
                <w:szCs w:val="24"/>
                <w:lang w:val="en-US" w:eastAsia="zh-CN"/>
              </w:rPr>
              <w:t>Acceleration</w:t>
            </w:r>
          </w:p>
        </w:tc>
      </w:tr>
      <w:tr w:rsidR="005B326F" w:rsidRPr="005B326F" w:rsidTr="00FF6B28">
        <w:trPr>
          <w:jc w:val="center"/>
        </w:trPr>
        <w:tc>
          <w:tcPr>
            <w:tcW w:w="1904"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snapToGrid w:val="0"/>
                <w:szCs w:val="24"/>
                <w:lang w:val="en-US" w:eastAsia="zh-CN"/>
              </w:rPr>
              <w:t>Value</w:t>
            </w:r>
          </w:p>
        </w:tc>
        <w:tc>
          <w:tcPr>
            <w:tcW w:w="1007"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1</w:t>
            </w:r>
            <w:r w:rsidRPr="005B326F">
              <w:rPr>
                <w:rFonts w:eastAsia="Times New Roman"/>
                <w:snapToGrid w:val="0"/>
                <w:szCs w:val="24"/>
                <w:lang w:val="en-US" w:eastAsia="zh-CN"/>
              </w:rPr>
              <w:t>/35</w:t>
            </w:r>
          </w:p>
        </w:tc>
        <w:tc>
          <w:tcPr>
            <w:tcW w:w="1126"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en-US"/>
              </w:rPr>
            </w:pPr>
            <w:r w:rsidRPr="005B326F">
              <w:rPr>
                <w:rFonts w:eastAsia="Times New Roman"/>
                <w:snapToGrid w:val="0"/>
                <w:szCs w:val="24"/>
                <w:lang w:val="en-US" w:eastAsia="en-US"/>
              </w:rPr>
              <w:t>0.000245</w:t>
            </w:r>
          </w:p>
        </w:tc>
        <w:tc>
          <w:tcPr>
            <w:tcW w:w="1068"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0</w:t>
            </w:r>
            <w:r w:rsidRPr="005B326F">
              <w:rPr>
                <w:rFonts w:eastAsia="Times New Roman"/>
                <w:snapToGrid w:val="0"/>
                <w:szCs w:val="24"/>
                <w:lang w:val="en-US" w:eastAsia="zh-CN"/>
              </w:rPr>
              <w:t>.169</w:t>
            </w:r>
          </w:p>
        </w:tc>
        <w:tc>
          <w:tcPr>
            <w:tcW w:w="1570"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0</w:t>
            </w:r>
            <w:r w:rsidRPr="005B326F">
              <w:rPr>
                <w:rFonts w:eastAsia="Times New Roman"/>
                <w:snapToGrid w:val="0"/>
                <w:szCs w:val="24"/>
                <w:lang w:val="en-US" w:eastAsia="zh-CN"/>
              </w:rPr>
              <w:t>.3</w:t>
            </w:r>
          </w:p>
        </w:tc>
        <w:tc>
          <w:tcPr>
            <w:tcW w:w="1630"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1</w:t>
            </w:r>
            <w:r w:rsidRPr="005B326F">
              <w:rPr>
                <w:rFonts w:eastAsia="Times New Roman"/>
                <w:snapToGrid w:val="0"/>
                <w:szCs w:val="24"/>
                <w:lang w:val="en-US" w:eastAsia="zh-CN"/>
              </w:rPr>
              <w:t>.0</w:t>
            </w:r>
          </w:p>
        </w:tc>
      </w:tr>
    </w:tbl>
    <w:p w:rsidR="005B326F" w:rsidRPr="005B326F" w:rsidRDefault="005B326F" w:rsidP="005B326F">
      <w:pPr>
        <w:widowControl w:val="0"/>
        <w:spacing w:after="0" w:line="240" w:lineRule="auto"/>
        <w:jc w:val="both"/>
        <w:rPr>
          <w:rFonts w:eastAsia="Times New Roman"/>
          <w:snapToGrid w:val="0"/>
          <w:szCs w:val="24"/>
          <w:lang w:eastAsia="en-US"/>
        </w:rPr>
      </w:pPr>
    </w:p>
    <w:p w:rsidR="005B326F" w:rsidRPr="005B326F" w:rsidRDefault="005B326F" w:rsidP="005B326F">
      <w:pPr>
        <w:widowControl w:val="0"/>
        <w:spacing w:after="0" w:line="240" w:lineRule="auto"/>
        <w:jc w:val="both"/>
        <w:rPr>
          <w:rFonts w:eastAsia="Times New Roman"/>
          <w:snapToGrid w:val="0"/>
          <w:szCs w:val="24"/>
          <w:lang w:eastAsia="en-US"/>
        </w:rPr>
      </w:pPr>
    </w:p>
    <w:p w:rsidR="005B326F" w:rsidRPr="005B326F" w:rsidRDefault="005B326F" w:rsidP="005B326F">
      <w:pPr>
        <w:widowControl w:val="0"/>
        <w:spacing w:after="0" w:line="240" w:lineRule="auto"/>
        <w:jc w:val="center"/>
        <w:rPr>
          <w:rFonts w:eastAsia="Times New Roman"/>
          <w:snapToGrid w:val="0"/>
          <w:szCs w:val="24"/>
          <w:lang w:val="en-US" w:eastAsia="en-US"/>
        </w:rPr>
      </w:pPr>
      <w:r w:rsidRPr="005B326F">
        <w:rPr>
          <w:rFonts w:eastAsia="Times New Roman"/>
          <w:noProof/>
          <w:snapToGrid w:val="0"/>
          <w:szCs w:val="24"/>
        </w:rPr>
        <w:drawing>
          <wp:inline distT="0" distB="0" distL="0" distR="0" wp14:anchorId="738AD58B" wp14:editId="302F32DA">
            <wp:extent cx="6120130" cy="4741545"/>
            <wp:effectExtent l="0" t="0" r="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_mod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741545"/>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Figure 1. Details of the 1/35-scaled model (unit: millimeter).</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spacing w:after="160" w:line="259" w:lineRule="auto"/>
        <w:rPr>
          <w:rFonts w:eastAsia="Times New Roman"/>
          <w:snapToGrid w:val="0"/>
          <w:szCs w:val="24"/>
          <w:lang w:val="en-US" w:eastAsia="en-US"/>
        </w:rPr>
      </w:pPr>
      <w:r w:rsidRPr="005B326F">
        <w:rPr>
          <w:rFonts w:eastAsia="Times New Roman"/>
          <w:snapToGrid w:val="0"/>
          <w:szCs w:val="24"/>
          <w:lang w:val="en-US" w:eastAsia="en-US"/>
        </w:rPr>
        <w:br w:type="page"/>
      </w: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hint="eastAsia"/>
          <w:snapToGrid w:val="0"/>
          <w:sz w:val="20"/>
          <w:szCs w:val="24"/>
          <w:lang w:val="en-US" w:eastAsia="en-US"/>
        </w:rPr>
        <w:lastRenderedPageBreak/>
        <w:t>T</w:t>
      </w:r>
      <w:r w:rsidRPr="005B326F">
        <w:rPr>
          <w:rFonts w:eastAsia="Times New Roman"/>
          <w:snapToGrid w:val="0"/>
          <w:sz w:val="20"/>
          <w:szCs w:val="24"/>
          <w:lang w:val="en-US" w:eastAsia="en-US"/>
        </w:rPr>
        <w:t>able 2. Self-weight and additional mass of the test model.</w:t>
      </w:r>
    </w:p>
    <w:p w:rsidR="005B326F" w:rsidRPr="005B326F" w:rsidRDefault="005B326F" w:rsidP="005B326F">
      <w:pPr>
        <w:widowControl w:val="0"/>
        <w:spacing w:after="0" w:line="240" w:lineRule="auto"/>
        <w:jc w:val="both"/>
        <w:rPr>
          <w:rFonts w:eastAsia="SimSun"/>
          <w:snapToGrid w:val="0"/>
          <w:szCs w:val="24"/>
          <w:lang w:val="en-US" w:eastAsia="zh-CN"/>
        </w:rPr>
      </w:pPr>
    </w:p>
    <w:tbl>
      <w:tblPr>
        <w:tblW w:w="0" w:type="auto"/>
        <w:jc w:val="center"/>
        <w:tblBorders>
          <w:top w:val="single" w:sz="6" w:space="0" w:color="auto"/>
          <w:bottom w:val="single" w:sz="6" w:space="0" w:color="auto"/>
        </w:tblBorders>
        <w:tblLook w:val="04A0" w:firstRow="1" w:lastRow="0" w:firstColumn="1" w:lastColumn="0" w:noHBand="0" w:noVBand="1"/>
      </w:tblPr>
      <w:tblGrid>
        <w:gridCol w:w="2023"/>
        <w:gridCol w:w="2023"/>
        <w:gridCol w:w="2221"/>
        <w:gridCol w:w="29"/>
      </w:tblGrid>
      <w:tr w:rsidR="005B326F" w:rsidRPr="005B326F" w:rsidTr="00FF6B28">
        <w:trPr>
          <w:trHeight w:val="249"/>
          <w:jc w:val="center"/>
        </w:trPr>
        <w:tc>
          <w:tcPr>
            <w:tcW w:w="2023" w:type="dxa"/>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b/>
                <w:snapToGrid w:val="0"/>
                <w:szCs w:val="24"/>
                <w:lang w:val="en-US" w:eastAsia="zh-CN"/>
              </w:rPr>
            </w:pPr>
            <w:r w:rsidRPr="005B326F">
              <w:rPr>
                <w:rFonts w:eastAsia="Times New Roman"/>
                <w:b/>
                <w:snapToGrid w:val="0"/>
                <w:szCs w:val="24"/>
                <w:lang w:val="en-US" w:eastAsia="zh-CN"/>
              </w:rPr>
              <w:t>Components</w:t>
            </w:r>
          </w:p>
        </w:tc>
        <w:tc>
          <w:tcPr>
            <w:tcW w:w="2023" w:type="dxa"/>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b/>
                <w:snapToGrid w:val="0"/>
                <w:szCs w:val="24"/>
                <w:lang w:val="en-US" w:eastAsia="zh-CN"/>
              </w:rPr>
            </w:pPr>
            <w:r w:rsidRPr="005B326F">
              <w:rPr>
                <w:rFonts w:eastAsia="Times New Roman"/>
                <w:b/>
                <w:snapToGrid w:val="0"/>
                <w:szCs w:val="24"/>
                <w:lang w:val="en-US" w:eastAsia="zh-CN"/>
              </w:rPr>
              <w:t>Self-weight/kg</w:t>
            </w:r>
          </w:p>
        </w:tc>
        <w:tc>
          <w:tcPr>
            <w:tcW w:w="2250" w:type="dxa"/>
            <w:gridSpan w:val="2"/>
            <w:tcBorders>
              <w:top w:val="single" w:sz="6" w:space="0" w:color="auto"/>
              <w:bottom w:val="single" w:sz="6" w:space="0" w:color="auto"/>
            </w:tcBorders>
          </w:tcPr>
          <w:p w:rsidR="005B326F" w:rsidRPr="005B326F" w:rsidRDefault="005B326F" w:rsidP="005B326F">
            <w:pPr>
              <w:widowControl w:val="0"/>
              <w:spacing w:after="0" w:line="240" w:lineRule="auto"/>
              <w:jc w:val="center"/>
              <w:rPr>
                <w:rFonts w:eastAsia="Times New Roman"/>
                <w:b/>
                <w:snapToGrid w:val="0"/>
                <w:szCs w:val="24"/>
                <w:lang w:val="en-US" w:eastAsia="zh-CN"/>
              </w:rPr>
            </w:pPr>
            <w:r w:rsidRPr="005B326F">
              <w:rPr>
                <w:rFonts w:eastAsia="Times New Roman"/>
                <w:b/>
                <w:snapToGrid w:val="0"/>
                <w:szCs w:val="24"/>
                <w:lang w:val="en-US" w:eastAsia="zh-CN"/>
              </w:rPr>
              <w:t>Additional mass/kg</w:t>
            </w:r>
          </w:p>
        </w:tc>
      </w:tr>
      <w:tr w:rsidR="005B326F" w:rsidRPr="005B326F" w:rsidTr="00FF6B28">
        <w:trPr>
          <w:gridAfter w:val="1"/>
          <w:wAfter w:w="29" w:type="dxa"/>
          <w:trHeight w:val="249"/>
          <w:jc w:val="center"/>
        </w:trPr>
        <w:tc>
          <w:tcPr>
            <w:tcW w:w="2023"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snapToGrid w:val="0"/>
                <w:szCs w:val="24"/>
                <w:lang w:val="en-US" w:eastAsia="zh-CN"/>
              </w:rPr>
              <w:t>Deck</w:t>
            </w:r>
          </w:p>
        </w:tc>
        <w:tc>
          <w:tcPr>
            <w:tcW w:w="2023"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2</w:t>
            </w:r>
            <w:r w:rsidRPr="005B326F">
              <w:rPr>
                <w:rFonts w:eastAsia="Times New Roman"/>
                <w:snapToGrid w:val="0"/>
                <w:szCs w:val="24"/>
                <w:lang w:val="en-US" w:eastAsia="zh-CN"/>
              </w:rPr>
              <w:t>970</w:t>
            </w:r>
          </w:p>
        </w:tc>
        <w:tc>
          <w:tcPr>
            <w:tcW w:w="2221" w:type="dxa"/>
            <w:tcBorders>
              <w:top w:val="single" w:sz="6" w:space="0" w:color="auto"/>
            </w:tcBorders>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1</w:t>
            </w:r>
            <w:r w:rsidRPr="005B326F">
              <w:rPr>
                <w:rFonts w:eastAsia="Times New Roman"/>
                <w:snapToGrid w:val="0"/>
                <w:szCs w:val="24"/>
                <w:lang w:val="en-US" w:eastAsia="zh-CN"/>
              </w:rPr>
              <w:t>2889</w:t>
            </w:r>
          </w:p>
        </w:tc>
      </w:tr>
      <w:tr w:rsidR="005B326F" w:rsidRPr="005B326F" w:rsidTr="00FF6B28">
        <w:trPr>
          <w:gridAfter w:val="1"/>
          <w:wAfter w:w="29" w:type="dxa"/>
          <w:trHeight w:val="263"/>
          <w:jc w:val="center"/>
        </w:trPr>
        <w:tc>
          <w:tcPr>
            <w:tcW w:w="2023" w:type="dxa"/>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snapToGrid w:val="0"/>
                <w:szCs w:val="24"/>
                <w:lang w:val="en-US" w:eastAsia="zh-CN"/>
              </w:rPr>
              <w:t>Tower #1 and 2</w:t>
            </w:r>
          </w:p>
        </w:tc>
        <w:tc>
          <w:tcPr>
            <w:tcW w:w="2023" w:type="dxa"/>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2</w:t>
            </w:r>
            <w:r w:rsidRPr="005B326F">
              <w:rPr>
                <w:rFonts w:eastAsia="Times New Roman"/>
                <w:snapToGrid w:val="0"/>
                <w:szCs w:val="24"/>
                <w:lang w:val="en-US" w:eastAsia="zh-CN"/>
              </w:rPr>
              <w:t>131</w:t>
            </w:r>
          </w:p>
        </w:tc>
        <w:tc>
          <w:tcPr>
            <w:tcW w:w="2221" w:type="dxa"/>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1</w:t>
            </w:r>
            <w:r w:rsidRPr="005B326F">
              <w:rPr>
                <w:rFonts w:eastAsia="Times New Roman"/>
                <w:snapToGrid w:val="0"/>
                <w:szCs w:val="24"/>
                <w:lang w:val="en-US" w:eastAsia="zh-CN"/>
              </w:rPr>
              <w:t>3876</w:t>
            </w:r>
          </w:p>
        </w:tc>
      </w:tr>
      <w:tr w:rsidR="005B326F" w:rsidRPr="005B326F" w:rsidTr="00FF6B28">
        <w:trPr>
          <w:gridAfter w:val="1"/>
          <w:wAfter w:w="29" w:type="dxa"/>
          <w:trHeight w:val="263"/>
          <w:jc w:val="center"/>
        </w:trPr>
        <w:tc>
          <w:tcPr>
            <w:tcW w:w="2023" w:type="dxa"/>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snapToGrid w:val="0"/>
                <w:szCs w:val="24"/>
                <w:lang w:val="en-US" w:eastAsia="zh-CN"/>
              </w:rPr>
              <w:t>Bent #1, 2, 3 and 4</w:t>
            </w:r>
          </w:p>
        </w:tc>
        <w:tc>
          <w:tcPr>
            <w:tcW w:w="2023" w:type="dxa"/>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snapToGrid w:val="0"/>
                <w:szCs w:val="24"/>
                <w:lang w:val="en-US" w:eastAsia="zh-CN"/>
              </w:rPr>
              <w:t>210</w:t>
            </w:r>
          </w:p>
        </w:tc>
        <w:tc>
          <w:tcPr>
            <w:tcW w:w="2221" w:type="dxa"/>
          </w:tcPr>
          <w:p w:rsidR="005B326F" w:rsidRPr="005B326F" w:rsidRDefault="005B326F" w:rsidP="005B326F">
            <w:pPr>
              <w:widowControl w:val="0"/>
              <w:spacing w:after="0" w:line="240" w:lineRule="auto"/>
              <w:jc w:val="center"/>
              <w:rPr>
                <w:rFonts w:eastAsia="Times New Roman"/>
                <w:snapToGrid w:val="0"/>
                <w:szCs w:val="24"/>
                <w:lang w:val="en-US" w:eastAsia="zh-CN"/>
              </w:rPr>
            </w:pPr>
            <w:r w:rsidRPr="005B326F">
              <w:rPr>
                <w:rFonts w:eastAsia="Times New Roman" w:hint="eastAsia"/>
                <w:snapToGrid w:val="0"/>
                <w:szCs w:val="24"/>
                <w:lang w:val="en-US" w:eastAsia="zh-CN"/>
              </w:rPr>
              <w:t>9</w:t>
            </w:r>
            <w:r w:rsidRPr="005B326F">
              <w:rPr>
                <w:rFonts w:eastAsia="Times New Roman"/>
                <w:snapToGrid w:val="0"/>
                <w:szCs w:val="24"/>
                <w:lang w:val="en-US" w:eastAsia="zh-CN"/>
              </w:rPr>
              <w:t>16</w:t>
            </w:r>
          </w:p>
        </w:tc>
      </w:tr>
    </w:tbl>
    <w:p w:rsidR="005B326F" w:rsidRPr="005B326F" w:rsidRDefault="005B326F" w:rsidP="005B326F">
      <w:pPr>
        <w:widowControl w:val="0"/>
        <w:spacing w:after="0" w:line="240" w:lineRule="auto"/>
        <w:jc w:val="both"/>
        <w:rPr>
          <w:rFonts w:eastAsia="SimSun"/>
          <w:snapToGrid w:val="0"/>
          <w:szCs w:val="24"/>
          <w:lang w:val="en-US" w:eastAsia="zh-CN"/>
        </w:rPr>
      </w:pPr>
    </w:p>
    <w:p w:rsidR="005B326F" w:rsidRPr="005B326F" w:rsidRDefault="005B326F" w:rsidP="005B326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5B326F">
        <w:rPr>
          <w:rFonts w:eastAsia="Times New Roman"/>
          <w:b/>
          <w:i/>
          <w:snapToGrid w:val="0"/>
          <w:szCs w:val="24"/>
          <w:lang w:val="en-US" w:eastAsia="en-US"/>
        </w:rPr>
        <w:t>2.1 Description for the TSDSS and TFS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Two types of transverse structural systems for cable-stayed bridges were tested. As shown in Figure 2, one is TSDSS. In this system, one TSD was placed at all deck-bent connections in parallel with two sliding bearings, and two TSDs were placed at deck-tower connections. The other for comparison is the conventional transverse fixed system (TFS) with transversely fixed constraints at all deck-bent and –tower connections. The deck in two systems is freely moveable in the longitudinal direction. Note that the forces transferred from deck to bents and towers were measured by force sensors as shown in Figure 2(b) and (c).</w:t>
      </w:r>
    </w:p>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Figure 3 presents the configuration of TSD used in the test, which consists of two triangular steel plates with a yield strength of 326 MPa. Each plate has a height of 11 cm, a width of 7 cm and a thickness of 0.3 cm. T</w:t>
      </w:r>
      <w:r w:rsidRPr="005B326F">
        <w:rPr>
          <w:rFonts w:eastAsia="SimSun" w:hint="eastAsia"/>
          <w:snapToGrid w:val="0"/>
          <w:szCs w:val="24"/>
          <w:lang w:val="en-US" w:eastAsia="zh-CN"/>
        </w:rPr>
        <w:t>h</w:t>
      </w:r>
      <w:r w:rsidRPr="005B326F">
        <w:rPr>
          <w:rFonts w:eastAsia="SimSun"/>
          <w:snapToGrid w:val="0"/>
          <w:szCs w:val="24"/>
          <w:lang w:val="en-US" w:eastAsia="zh-CN"/>
        </w:rPr>
        <w:t xml:space="preserve">e yield strength, initial stiffness and post-yield stiffness of the TSD are 0.74 </w:t>
      </w:r>
      <w:r w:rsidRPr="005B326F">
        <w:rPr>
          <w:rFonts w:eastAsia="SimSun"/>
          <w:i/>
          <w:snapToGrid w:val="0"/>
          <w:szCs w:val="24"/>
          <w:lang w:val="en-US" w:eastAsia="zh-CN"/>
        </w:rPr>
        <w:t>kN</w:t>
      </w:r>
      <w:r w:rsidRPr="005B326F">
        <w:rPr>
          <w:rFonts w:eastAsia="SimSun"/>
          <w:snapToGrid w:val="0"/>
          <w:szCs w:val="24"/>
          <w:lang w:val="en-US" w:eastAsia="zh-CN"/>
        </w:rPr>
        <w:t>, 73</w:t>
      </w:r>
      <w:r w:rsidRPr="005B326F">
        <w:rPr>
          <w:rFonts w:eastAsia="SimSun"/>
          <w:i/>
          <w:snapToGrid w:val="0"/>
          <w:szCs w:val="24"/>
          <w:lang w:val="en-US" w:eastAsia="zh-CN"/>
        </w:rPr>
        <w:t xml:space="preserve"> kN/m</w:t>
      </w:r>
      <w:r w:rsidRPr="005B326F">
        <w:rPr>
          <w:rFonts w:eastAsia="SimSun"/>
          <w:snapToGrid w:val="0"/>
          <w:szCs w:val="24"/>
          <w:lang w:val="en-US" w:eastAsia="zh-CN"/>
        </w:rPr>
        <w:t xml:space="preserve"> and 13.5</w:t>
      </w:r>
      <w:r w:rsidRPr="005B326F">
        <w:rPr>
          <w:rFonts w:eastAsia="SimSun"/>
          <w:i/>
          <w:snapToGrid w:val="0"/>
          <w:szCs w:val="24"/>
          <w:lang w:val="en-US" w:eastAsia="zh-CN"/>
        </w:rPr>
        <w:t xml:space="preserve"> kN/m</w:t>
      </w:r>
      <w:r w:rsidRPr="005B326F">
        <w:rPr>
          <w:rFonts w:eastAsia="SimSun"/>
          <w:snapToGrid w:val="0"/>
          <w:szCs w:val="24"/>
          <w:lang w:val="en-US" w:eastAsia="zh-CN"/>
        </w:rPr>
        <w:t xml:space="preserve">, respectively, which is determined by </w:t>
      </w:r>
      <w:r w:rsidRPr="005B326F">
        <w:rPr>
          <w:rFonts w:eastAsia="SimSun" w:hint="eastAsia"/>
          <w:snapToGrid w:val="0"/>
          <w:szCs w:val="24"/>
          <w:lang w:val="en-US" w:eastAsia="zh-CN"/>
        </w:rPr>
        <w:t xml:space="preserve">a </w:t>
      </w:r>
      <w:r w:rsidRPr="005B326F">
        <w:rPr>
          <w:rFonts w:eastAsia="SimSun"/>
          <w:snapToGrid w:val="0"/>
          <w:szCs w:val="24"/>
          <w:lang w:val="en-US" w:eastAsia="zh-CN"/>
        </w:rPr>
        <w:t>quasi-static test.</w:t>
      </w:r>
    </w:p>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 xml:space="preserve"> </w:t>
      </w:r>
    </w:p>
    <w:p w:rsidR="005B326F" w:rsidRPr="005B326F" w:rsidRDefault="005B326F" w:rsidP="005B326F">
      <w:pPr>
        <w:widowControl w:val="0"/>
        <w:spacing w:after="0" w:line="240" w:lineRule="auto"/>
        <w:jc w:val="center"/>
        <w:rPr>
          <w:rFonts w:eastAsia="Times New Roman"/>
          <w:snapToGrid w:val="0"/>
          <w:szCs w:val="24"/>
          <w:lang w:val="en-US" w:eastAsia="en-US"/>
        </w:rPr>
      </w:pPr>
      <w:r w:rsidRPr="005B326F">
        <w:rPr>
          <w:rFonts w:eastAsia="Times New Roman"/>
          <w:noProof/>
          <w:snapToGrid w:val="0"/>
          <w:szCs w:val="24"/>
        </w:rPr>
        <w:drawing>
          <wp:inline distT="0" distB="0" distL="0" distR="0" wp14:anchorId="122960DD" wp14:editId="5875C8EA">
            <wp:extent cx="5492836" cy="3265958"/>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of shake table test.jpg"/>
                    <pic:cNvPicPr/>
                  </pic:nvPicPr>
                  <pic:blipFill rotWithShape="1">
                    <a:blip r:embed="rId15" cstate="print">
                      <a:extLst>
                        <a:ext uri="{28A0092B-C50C-407E-A947-70E740481C1C}">
                          <a14:useLocalDpi xmlns:a14="http://schemas.microsoft.com/office/drawing/2010/main" val="0"/>
                        </a:ext>
                      </a:extLst>
                    </a:blip>
                    <a:srcRect t="16465" r="2933"/>
                    <a:stretch/>
                  </pic:blipFill>
                  <pic:spPr bwMode="auto">
                    <a:xfrm>
                      <a:off x="0" y="0"/>
                      <a:ext cx="5494085" cy="3266701"/>
                    </a:xfrm>
                    <a:prstGeom prst="rect">
                      <a:avLst/>
                    </a:prstGeom>
                    <a:ln>
                      <a:noFill/>
                    </a:ln>
                    <a:extLst>
                      <a:ext uri="{53640926-AAD7-44D8-BBD7-CCE9431645EC}">
                        <a14:shadowObscured xmlns:a14="http://schemas.microsoft.com/office/drawing/2010/main"/>
                      </a:ext>
                    </a:extLst>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Figure 2. Photo for the shake table test: (a) full-view of bridge model, (b) deck-bent/tower connections in TSDSS and (c) deck-bent/tower connections in TFS.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Cs w:val="24"/>
          <w:lang w:val="en-US" w:eastAsia="en-US"/>
        </w:rPr>
      </w:pPr>
      <w:r w:rsidRPr="005B326F">
        <w:rPr>
          <w:rFonts w:eastAsia="Times New Roman"/>
          <w:noProof/>
          <w:snapToGrid w:val="0"/>
          <w:szCs w:val="24"/>
        </w:rPr>
        <w:lastRenderedPageBreak/>
        <w:drawing>
          <wp:inline distT="0" distB="0" distL="0" distR="0" wp14:anchorId="69D57C9F" wp14:editId="3E1AC404">
            <wp:extent cx="2363724" cy="1773936"/>
            <wp:effectExtent l="0" t="0" r="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3724" cy="1773936"/>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Figure 3. The configuration of TSD used in the test.</w:t>
      </w:r>
    </w:p>
    <w:p w:rsidR="005B326F" w:rsidRPr="005B326F" w:rsidRDefault="005B326F" w:rsidP="005B326F">
      <w:pPr>
        <w:widowControl w:val="0"/>
        <w:spacing w:after="0" w:line="240" w:lineRule="auto"/>
        <w:jc w:val="both"/>
        <w:rPr>
          <w:rFonts w:eastAsia="SimSun"/>
          <w:snapToGrid w:val="0"/>
          <w:szCs w:val="24"/>
          <w:lang w:val="en-US" w:eastAsia="zh-CN"/>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suppressAutoHyphens/>
        <w:spacing w:after="0" w:line="240" w:lineRule="auto"/>
        <w:jc w:val="both"/>
        <w:outlineLvl w:val="0"/>
        <w:rPr>
          <w:rFonts w:eastAsia="Calibri"/>
          <w:b/>
          <w:caps/>
          <w:snapToGrid w:val="0"/>
          <w:szCs w:val="24"/>
          <w:lang w:val="en-US" w:eastAsia="en-US" w:bidi="en-US"/>
        </w:rPr>
      </w:pPr>
      <w:r w:rsidRPr="005B326F">
        <w:rPr>
          <w:rFonts w:eastAsia="Calibri"/>
          <w:b/>
          <w:caps/>
          <w:snapToGrid w:val="0"/>
          <w:szCs w:val="24"/>
          <w:lang w:val="en-US" w:eastAsia="en-US" w:bidi="en-US"/>
        </w:rPr>
        <w:t>3. testing protocol</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 xml:space="preserve">To investigate the seismic performance of TSDSS under ground motion sequences, three different ground motions with a PGA of 0.5g are selected as input. This intensity is adopted mainly based on two reasons: 1) to keep the towers and bents in elastic state for testing safety and reliability. 2) within the first requirement, to trigger a </w:t>
      </w:r>
      <w:r w:rsidRPr="005B326F">
        <w:rPr>
          <w:rFonts w:eastAsia="Times New Roman" w:hint="eastAsia"/>
          <w:snapToGrid w:val="0"/>
          <w:szCs w:val="24"/>
          <w:lang w:val="en-US" w:eastAsia="en-US"/>
        </w:rPr>
        <w:t>large</w:t>
      </w:r>
      <w:r w:rsidRPr="005B326F">
        <w:rPr>
          <w:rFonts w:eastAsia="Times New Roman"/>
          <w:snapToGrid w:val="0"/>
          <w:szCs w:val="24"/>
          <w:lang w:val="en-US" w:eastAsia="en-US"/>
        </w:rPr>
        <w:t xml:space="preserve"> seismic demand as far as possible for feasibility of measurement. The </w:t>
      </w:r>
      <w:r w:rsidRPr="005B326F">
        <w:rPr>
          <w:rFonts w:eastAsia="Times New Roman" w:hint="eastAsia"/>
          <w:snapToGrid w:val="0"/>
          <w:szCs w:val="24"/>
          <w:lang w:val="en-US" w:eastAsia="en-US"/>
        </w:rPr>
        <w:t xml:space="preserve">information of the </w:t>
      </w:r>
      <w:r w:rsidRPr="005B326F">
        <w:rPr>
          <w:rFonts w:eastAsia="Times New Roman"/>
          <w:snapToGrid w:val="0"/>
          <w:szCs w:val="24"/>
          <w:lang w:val="en-US" w:eastAsia="en-US"/>
        </w:rPr>
        <w:t xml:space="preserve">adopted ground motions </w:t>
      </w:r>
      <w:r w:rsidRPr="005B326F">
        <w:rPr>
          <w:rFonts w:eastAsia="Times New Roman" w:hint="eastAsia"/>
          <w:snapToGrid w:val="0"/>
          <w:szCs w:val="24"/>
          <w:lang w:val="en-US" w:eastAsia="en-US"/>
        </w:rPr>
        <w:t>are</w:t>
      </w:r>
      <w:r w:rsidRPr="005B326F">
        <w:rPr>
          <w:rFonts w:eastAsia="Times New Roman"/>
          <w:snapToGrid w:val="0"/>
          <w:szCs w:val="24"/>
          <w:lang w:val="en-US" w:eastAsia="en-US"/>
        </w:rPr>
        <w:t xml:space="preserve">: (1) Chi-Chi, recorded in 1999 Taiwan earthquake (TCU129 Station, Magnitude, </w:t>
      </w:r>
      <w:r w:rsidRPr="005B326F">
        <w:rPr>
          <w:rFonts w:eastAsia="Times New Roman"/>
          <w:i/>
          <w:snapToGrid w:val="0"/>
          <w:szCs w:val="24"/>
          <w:lang w:val="en-US" w:eastAsia="en-US"/>
        </w:rPr>
        <w:t xml:space="preserve">M </w:t>
      </w:r>
      <w:r w:rsidRPr="005B326F">
        <w:rPr>
          <w:rFonts w:eastAsia="Times New Roman"/>
          <w:snapToGrid w:val="0"/>
          <w:szCs w:val="24"/>
          <w:lang w:val="en-US" w:eastAsia="en-US"/>
        </w:rPr>
        <w:t xml:space="preserve">= 7.62, Source distance, </w:t>
      </w:r>
      <w:r w:rsidRPr="005B326F">
        <w:rPr>
          <w:rFonts w:eastAsia="Times New Roman"/>
          <w:i/>
          <w:snapToGrid w:val="0"/>
          <w:szCs w:val="24"/>
          <w:lang w:val="en-US" w:eastAsia="en-US"/>
        </w:rPr>
        <w:t>R</w:t>
      </w:r>
      <w:r w:rsidRPr="005B326F">
        <w:rPr>
          <w:rFonts w:eastAsia="Times New Roman"/>
          <w:i/>
          <w:snapToGrid w:val="0"/>
          <w:szCs w:val="24"/>
          <w:vertAlign w:val="subscript"/>
          <w:lang w:val="en-US" w:eastAsia="en-US"/>
        </w:rPr>
        <w:t>JB</w:t>
      </w:r>
      <w:r w:rsidRPr="005B326F">
        <w:rPr>
          <w:rFonts w:eastAsia="Times New Roman"/>
          <w:i/>
          <w:snapToGrid w:val="0"/>
          <w:szCs w:val="24"/>
          <w:lang w:val="en-US" w:eastAsia="en-US"/>
        </w:rPr>
        <w:t xml:space="preserve"> </w:t>
      </w:r>
      <w:r w:rsidRPr="005B326F">
        <w:rPr>
          <w:rFonts w:eastAsia="Times New Roman"/>
          <w:snapToGrid w:val="0"/>
          <w:szCs w:val="24"/>
          <w:lang w:val="en-US" w:eastAsia="en-US"/>
        </w:rPr>
        <w:t xml:space="preserve">= 1.83 km, Average shear wave velocity at top 30 meters of the site, </w:t>
      </w:r>
      <w:r w:rsidRPr="005B326F">
        <w:rPr>
          <w:rFonts w:eastAsia="Times New Roman"/>
          <w:i/>
          <w:snapToGrid w:val="0"/>
          <w:szCs w:val="24"/>
          <w:lang w:val="en-US" w:eastAsia="en-US"/>
        </w:rPr>
        <w:t>V</w:t>
      </w:r>
      <w:r w:rsidRPr="005B326F">
        <w:rPr>
          <w:rFonts w:eastAsia="Times New Roman"/>
          <w:i/>
          <w:snapToGrid w:val="0"/>
          <w:szCs w:val="24"/>
          <w:vertAlign w:val="subscript"/>
          <w:lang w:val="en-US" w:eastAsia="en-US"/>
        </w:rPr>
        <w:t>s</w:t>
      </w:r>
      <w:r w:rsidRPr="005B326F">
        <w:rPr>
          <w:rFonts w:eastAsia="Times New Roman"/>
          <w:snapToGrid w:val="0"/>
          <w:szCs w:val="24"/>
          <w:vertAlign w:val="subscript"/>
          <w:lang w:val="en-US" w:eastAsia="en-US"/>
        </w:rPr>
        <w:t>30</w:t>
      </w:r>
      <w:r w:rsidRPr="005B326F">
        <w:rPr>
          <w:rFonts w:eastAsia="Times New Roman"/>
          <w:snapToGrid w:val="0"/>
          <w:szCs w:val="24"/>
          <w:lang w:val="en-US" w:eastAsia="en-US"/>
        </w:rPr>
        <w:t xml:space="preserve">= 511.18 m/s); (2) </w:t>
      </w:r>
      <w:r w:rsidRPr="005B326F">
        <w:rPr>
          <w:rFonts w:eastAsia="Times New Roman" w:hint="eastAsia"/>
          <w:snapToGrid w:val="0"/>
          <w:szCs w:val="24"/>
          <w:lang w:val="en-US" w:eastAsia="en-US"/>
        </w:rPr>
        <w:t xml:space="preserve">El Centro, </w:t>
      </w:r>
      <w:r w:rsidRPr="005B326F">
        <w:rPr>
          <w:rFonts w:eastAsia="Times New Roman"/>
          <w:snapToGrid w:val="0"/>
          <w:szCs w:val="24"/>
          <w:lang w:val="en-US" w:eastAsia="en-US"/>
        </w:rPr>
        <w:t xml:space="preserve">recorded in 1940 Imperial Valley earthquake (El Centro Station, </w:t>
      </w:r>
      <w:r w:rsidRPr="005B326F">
        <w:rPr>
          <w:rFonts w:eastAsia="Times New Roman"/>
          <w:i/>
          <w:snapToGrid w:val="0"/>
          <w:szCs w:val="24"/>
          <w:lang w:val="en-US" w:eastAsia="en-US"/>
        </w:rPr>
        <w:t xml:space="preserve">M </w:t>
      </w:r>
      <w:r w:rsidRPr="005B326F">
        <w:rPr>
          <w:rFonts w:eastAsia="Times New Roman"/>
          <w:snapToGrid w:val="0"/>
          <w:szCs w:val="24"/>
          <w:lang w:val="en-US" w:eastAsia="en-US"/>
        </w:rPr>
        <w:t xml:space="preserve">= 6.95, </w:t>
      </w:r>
      <w:r w:rsidRPr="005B326F">
        <w:rPr>
          <w:rFonts w:eastAsia="Times New Roman"/>
          <w:i/>
          <w:snapToGrid w:val="0"/>
          <w:szCs w:val="24"/>
          <w:lang w:val="en-US" w:eastAsia="en-US"/>
        </w:rPr>
        <w:t>R</w:t>
      </w:r>
      <w:r w:rsidRPr="005B326F">
        <w:rPr>
          <w:rFonts w:eastAsia="Times New Roman"/>
          <w:i/>
          <w:snapToGrid w:val="0"/>
          <w:szCs w:val="24"/>
          <w:vertAlign w:val="subscript"/>
          <w:lang w:val="en-US" w:eastAsia="en-US"/>
        </w:rPr>
        <w:t>JB</w:t>
      </w:r>
      <w:r w:rsidRPr="005B326F">
        <w:rPr>
          <w:rFonts w:eastAsia="Times New Roman"/>
          <w:i/>
          <w:snapToGrid w:val="0"/>
          <w:szCs w:val="24"/>
          <w:lang w:val="en-US" w:eastAsia="en-US"/>
        </w:rPr>
        <w:t xml:space="preserve"> </w:t>
      </w:r>
      <w:r w:rsidRPr="005B326F">
        <w:rPr>
          <w:rFonts w:eastAsia="Times New Roman"/>
          <w:snapToGrid w:val="0"/>
          <w:szCs w:val="24"/>
          <w:lang w:val="en-US" w:eastAsia="en-US"/>
        </w:rPr>
        <w:t xml:space="preserve">= 6.09 km, </w:t>
      </w:r>
      <w:r w:rsidRPr="005B326F">
        <w:rPr>
          <w:rFonts w:eastAsia="Times New Roman"/>
          <w:i/>
          <w:snapToGrid w:val="0"/>
          <w:szCs w:val="24"/>
          <w:lang w:val="en-US" w:eastAsia="en-US"/>
        </w:rPr>
        <w:t>V</w:t>
      </w:r>
      <w:r w:rsidRPr="005B326F">
        <w:rPr>
          <w:rFonts w:eastAsia="Times New Roman"/>
          <w:i/>
          <w:snapToGrid w:val="0"/>
          <w:szCs w:val="24"/>
          <w:vertAlign w:val="subscript"/>
          <w:lang w:val="en-US" w:eastAsia="en-US"/>
        </w:rPr>
        <w:t>s</w:t>
      </w:r>
      <w:r w:rsidRPr="005B326F">
        <w:rPr>
          <w:rFonts w:eastAsia="Times New Roman"/>
          <w:snapToGrid w:val="0"/>
          <w:szCs w:val="24"/>
          <w:vertAlign w:val="subscript"/>
          <w:lang w:val="en-US" w:eastAsia="en-US"/>
        </w:rPr>
        <w:t>30</w:t>
      </w:r>
      <w:r w:rsidRPr="005B326F">
        <w:rPr>
          <w:rFonts w:eastAsia="Times New Roman"/>
          <w:snapToGrid w:val="0"/>
          <w:szCs w:val="24"/>
          <w:lang w:val="en-US" w:eastAsia="en-US"/>
        </w:rPr>
        <w:t>= 213.44 m/s)</w:t>
      </w:r>
      <w:r w:rsidRPr="005B326F">
        <w:rPr>
          <w:rFonts w:eastAsia="Times New Roman" w:hint="eastAsia"/>
          <w:snapToGrid w:val="0"/>
          <w:szCs w:val="24"/>
          <w:lang w:val="en-US" w:eastAsia="en-US"/>
        </w:rPr>
        <w:t xml:space="preserve"> and (</w:t>
      </w:r>
      <w:r w:rsidRPr="005B326F">
        <w:rPr>
          <w:rFonts w:eastAsia="Times New Roman"/>
          <w:snapToGrid w:val="0"/>
          <w:szCs w:val="24"/>
          <w:lang w:val="en-US" w:eastAsia="en-US"/>
        </w:rPr>
        <w:t>3</w:t>
      </w:r>
      <w:r w:rsidRPr="005B326F">
        <w:rPr>
          <w:rFonts w:eastAsia="Times New Roman" w:hint="eastAsia"/>
          <w:snapToGrid w:val="0"/>
          <w:szCs w:val="24"/>
          <w:lang w:val="en-US" w:eastAsia="en-US"/>
        </w:rPr>
        <w:t>) E10,</w:t>
      </w:r>
      <w:r w:rsidRPr="005B326F">
        <w:rPr>
          <w:rFonts w:eastAsia="Times New Roman"/>
          <w:snapToGrid w:val="0"/>
          <w:szCs w:val="24"/>
          <w:lang w:val="en-CA" w:eastAsia="en-US"/>
        </w:rPr>
        <w:t xml:space="preserve"> </w:t>
      </w:r>
      <w:r w:rsidRPr="005B326F">
        <w:rPr>
          <w:rFonts w:eastAsia="Times New Roman" w:hint="eastAsia"/>
          <w:snapToGrid w:val="0"/>
          <w:szCs w:val="24"/>
          <w:lang w:val="en-CA" w:eastAsia="en-US"/>
        </w:rPr>
        <w:t xml:space="preserve">a </w:t>
      </w:r>
      <w:r w:rsidRPr="005B326F">
        <w:rPr>
          <w:rFonts w:eastAsia="Times New Roman"/>
          <w:snapToGrid w:val="0"/>
          <w:szCs w:val="24"/>
          <w:lang w:val="en-CA" w:eastAsia="en-US"/>
        </w:rPr>
        <w:t>far-field and soft-site artificial wave</w:t>
      </w:r>
      <w:r w:rsidRPr="005B326F">
        <w:rPr>
          <w:rFonts w:eastAsia="Times New Roman" w:hint="eastAsia"/>
          <w:snapToGrid w:val="0"/>
          <w:szCs w:val="24"/>
          <w:lang w:val="en-CA" w:eastAsia="en-US"/>
        </w:rPr>
        <w:t xml:space="preserve">, </w:t>
      </w:r>
      <w:r w:rsidRPr="005B326F">
        <w:rPr>
          <w:rFonts w:eastAsia="Times New Roman"/>
          <w:snapToGrid w:val="0"/>
          <w:szCs w:val="24"/>
          <w:lang w:val="en-CA" w:eastAsia="en-US"/>
        </w:rPr>
        <w:t xml:space="preserve">obtained from the report </w:t>
      </w:r>
      <w:r w:rsidRPr="005B326F">
        <w:rPr>
          <w:rFonts w:eastAsia="Times New Roman" w:hint="eastAsia"/>
          <w:snapToGrid w:val="0"/>
          <w:szCs w:val="24"/>
          <w:lang w:val="en-CA" w:eastAsia="en-US"/>
        </w:rPr>
        <w:t>of</w:t>
      </w:r>
      <w:r w:rsidRPr="005B326F">
        <w:rPr>
          <w:rFonts w:eastAsia="Times New Roman"/>
          <w:snapToGrid w:val="0"/>
          <w:szCs w:val="24"/>
          <w:lang w:val="en-CA" w:eastAsia="en-US"/>
        </w:rPr>
        <w:t xml:space="preserve"> probabilistic seismic hazard analysis </w:t>
      </w:r>
      <w:r w:rsidRPr="005B326F">
        <w:rPr>
          <w:rFonts w:eastAsia="Times New Roman" w:hint="eastAsia"/>
          <w:snapToGrid w:val="0"/>
          <w:szCs w:val="24"/>
          <w:lang w:val="en-CA" w:eastAsia="en-US"/>
        </w:rPr>
        <w:t>for</w:t>
      </w:r>
      <w:r w:rsidRPr="005B326F">
        <w:rPr>
          <w:rFonts w:eastAsia="Times New Roman"/>
          <w:snapToGrid w:val="0"/>
          <w:szCs w:val="24"/>
          <w:lang w:val="en-CA" w:eastAsia="en-US"/>
        </w:rPr>
        <w:t xml:space="preserve"> the site </w:t>
      </w:r>
      <w:r w:rsidRPr="005B326F">
        <w:rPr>
          <w:rFonts w:eastAsia="Times New Roman" w:hint="eastAsia"/>
          <w:snapToGrid w:val="0"/>
          <w:szCs w:val="24"/>
          <w:lang w:val="en-CA" w:eastAsia="en-US"/>
        </w:rPr>
        <w:t xml:space="preserve">of </w:t>
      </w:r>
      <w:r w:rsidRPr="005B326F">
        <w:rPr>
          <w:rFonts w:eastAsia="Times New Roman"/>
          <w:snapToGrid w:val="0"/>
          <w:szCs w:val="24"/>
          <w:lang w:val="en-CA" w:eastAsia="en-US"/>
        </w:rPr>
        <w:t>the Sutong Bridge</w:t>
      </w:r>
      <w:r w:rsidRPr="005B326F">
        <w:rPr>
          <w:rFonts w:eastAsia="Times New Roman" w:hint="eastAsia"/>
          <w:snapToGrid w:val="0"/>
          <w:szCs w:val="24"/>
          <w:lang w:val="en-US" w:eastAsia="en-US"/>
        </w:rPr>
        <w:t>.</w:t>
      </w: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Two synthetic ground motion sequences shown in Figure 4</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 xml:space="preserve">are adopted as input of TSDSS, the </w:t>
      </w:r>
      <w:r w:rsidRPr="005B326F">
        <w:rPr>
          <w:rFonts w:eastAsia="Times New Roman"/>
          <w:i/>
          <w:snapToGrid w:val="0"/>
          <w:szCs w:val="24"/>
          <w:lang w:val="en-US" w:eastAsia="en-US"/>
        </w:rPr>
        <w:t>S</w:t>
      </w:r>
      <w:r w:rsidRPr="005B326F">
        <w:rPr>
          <w:rFonts w:eastAsia="Times New Roman"/>
          <w:snapToGrid w:val="0"/>
          <w:szCs w:val="24"/>
          <w:lang w:val="en-US" w:eastAsia="en-US"/>
        </w:rPr>
        <w:t xml:space="preserve">1consists of E10 in three times and sequence </w:t>
      </w:r>
      <w:r w:rsidRPr="005B326F">
        <w:rPr>
          <w:rFonts w:eastAsia="Times New Roman"/>
          <w:i/>
          <w:snapToGrid w:val="0"/>
          <w:szCs w:val="24"/>
          <w:lang w:val="en-US" w:eastAsia="en-US"/>
        </w:rPr>
        <w:t>S</w:t>
      </w:r>
      <w:r w:rsidRPr="005B326F">
        <w:rPr>
          <w:rFonts w:eastAsia="Times New Roman"/>
          <w:snapToGrid w:val="0"/>
          <w:szCs w:val="24"/>
          <w:lang w:val="en-US" w:eastAsia="en-US"/>
        </w:rPr>
        <w:t xml:space="preserve">2 consists of El Centro twice followed by ChiChi ground motion. The time axial of each ground motion in these two sequences is compressed according to the time-scale of 0.169. Figure 5 presents the acceleration spectra of time-compressed ground motions with 3% damping ratio. Table 3 lists the test case arrangements. After case 1, </w:t>
      </w:r>
      <w:r w:rsidRPr="005B326F">
        <w:rPr>
          <w:rFonts w:eastAsia="Times New Roman" w:hint="eastAsia"/>
          <w:snapToGrid w:val="0"/>
          <w:szCs w:val="24"/>
          <w:lang w:val="en-CA" w:eastAsia="en-US"/>
        </w:rPr>
        <w:t>intact TSD</w:t>
      </w:r>
      <w:r w:rsidRPr="005B326F">
        <w:rPr>
          <w:rFonts w:eastAsia="Times New Roman"/>
          <w:snapToGrid w:val="0"/>
          <w:szCs w:val="24"/>
          <w:lang w:val="en-CA" w:eastAsia="en-US"/>
        </w:rPr>
        <w:t>s</w:t>
      </w:r>
      <w:r w:rsidRPr="005B326F">
        <w:rPr>
          <w:rFonts w:eastAsia="Times New Roman" w:hint="eastAsia"/>
          <w:snapToGrid w:val="0"/>
          <w:szCs w:val="24"/>
          <w:lang w:val="en-CA" w:eastAsia="en-US"/>
        </w:rPr>
        <w:t xml:space="preserve"> were </w:t>
      </w:r>
      <w:r w:rsidRPr="005B326F">
        <w:rPr>
          <w:rFonts w:eastAsia="Times New Roman"/>
          <w:snapToGrid w:val="0"/>
          <w:szCs w:val="24"/>
          <w:lang w:val="en-CA" w:eastAsia="en-US"/>
        </w:rPr>
        <w:t xml:space="preserve">used to </w:t>
      </w:r>
      <w:r w:rsidRPr="005B326F">
        <w:rPr>
          <w:rFonts w:eastAsia="Times New Roman" w:hint="eastAsia"/>
          <w:snapToGrid w:val="0"/>
          <w:szCs w:val="24"/>
          <w:lang w:val="en-CA" w:eastAsia="en-US"/>
        </w:rPr>
        <w:t>replace</w:t>
      </w:r>
      <w:r w:rsidRPr="005B326F">
        <w:rPr>
          <w:rFonts w:eastAsia="Times New Roman"/>
          <w:snapToGrid w:val="0"/>
          <w:szCs w:val="24"/>
          <w:lang w:val="en-CA" w:eastAsia="en-US"/>
        </w:rPr>
        <w:t xml:space="preserve"> the </w:t>
      </w:r>
      <w:r w:rsidRPr="005B326F">
        <w:rPr>
          <w:rFonts w:eastAsia="Times New Roman"/>
          <w:snapToGrid w:val="0"/>
          <w:szCs w:val="24"/>
          <w:lang w:val="en-US" w:eastAsia="en-US"/>
        </w:rPr>
        <w:t>tested ones</w:t>
      </w:r>
      <w:r w:rsidRPr="005B326F">
        <w:rPr>
          <w:rFonts w:eastAsia="Times New Roman" w:hint="eastAsia"/>
          <w:snapToGrid w:val="0"/>
          <w:szCs w:val="24"/>
          <w:lang w:val="en-CA" w:eastAsia="en-US"/>
        </w:rPr>
        <w:t>.</w:t>
      </w:r>
      <w:r w:rsidRPr="005B326F">
        <w:rPr>
          <w:rFonts w:eastAsia="Times New Roman"/>
          <w:snapToGrid w:val="0"/>
          <w:szCs w:val="24"/>
          <w:lang w:val="en-CA" w:eastAsia="en-US"/>
        </w:rPr>
        <w:t xml:space="preserve"> The </w:t>
      </w:r>
      <w:r w:rsidRPr="005B326F">
        <w:rPr>
          <w:rFonts w:eastAsia="Times New Roman" w:hint="eastAsia"/>
          <w:snapToGrid w:val="0"/>
          <w:szCs w:val="24"/>
          <w:lang w:val="en-CA" w:eastAsia="en-US"/>
        </w:rPr>
        <w:t>TFS</w:t>
      </w:r>
      <w:r w:rsidRPr="005B326F">
        <w:rPr>
          <w:rFonts w:eastAsia="Times New Roman"/>
          <w:snapToGrid w:val="0"/>
          <w:szCs w:val="24"/>
          <w:lang w:val="en-CA" w:eastAsia="en-US"/>
        </w:rPr>
        <w:t xml:space="preserve"> was excited by</w:t>
      </w:r>
      <w:r w:rsidRPr="005B326F">
        <w:rPr>
          <w:rFonts w:eastAsia="Times New Roman" w:hint="eastAsia"/>
          <w:snapToGrid w:val="0"/>
          <w:szCs w:val="24"/>
          <w:lang w:val="en-CA" w:eastAsia="en-US"/>
        </w:rPr>
        <w:t xml:space="preserve"> </w:t>
      </w:r>
      <w:r w:rsidRPr="005B326F">
        <w:rPr>
          <w:rFonts w:eastAsia="SimSun"/>
          <w:snapToGrid w:val="0"/>
          <w:szCs w:val="24"/>
          <w:lang w:val="en-US" w:eastAsia="zh-CN"/>
        </w:rPr>
        <w:t xml:space="preserve">El Centro, ChiChi and E10 </w:t>
      </w:r>
      <w:r w:rsidRPr="005B326F">
        <w:rPr>
          <w:rFonts w:eastAsia="Times New Roman"/>
          <w:snapToGrid w:val="0"/>
          <w:szCs w:val="24"/>
          <w:lang w:val="en-US" w:eastAsia="en-US"/>
        </w:rPr>
        <w:t>sequentially</w:t>
      </w:r>
      <w:r w:rsidRPr="005B326F">
        <w:rPr>
          <w:rFonts w:eastAsia="Times New Roman" w:hint="eastAsia"/>
          <w:snapToGrid w:val="0"/>
          <w:szCs w:val="24"/>
          <w:lang w:val="en-US" w:eastAsia="en-US"/>
        </w:rPr>
        <w:t>.</w:t>
      </w:r>
      <w:r w:rsidRPr="005B326F">
        <w:rPr>
          <w:rFonts w:eastAsia="Times New Roman"/>
          <w:snapToGrid w:val="0"/>
          <w:szCs w:val="24"/>
          <w:lang w:val="en-US" w:eastAsia="en-US"/>
        </w:rPr>
        <w:t xml:space="preserve"> </w:t>
      </w:r>
      <w:r w:rsidRPr="005B326F">
        <w:rPr>
          <w:rFonts w:eastAsia="Times New Roman"/>
          <w:snapToGrid w:val="0"/>
          <w:szCs w:val="24"/>
          <w:lang w:val="en-CA" w:eastAsia="en-US"/>
        </w:rPr>
        <w:t>T</w:t>
      </w:r>
      <w:r w:rsidRPr="005B326F">
        <w:rPr>
          <w:rFonts w:eastAsia="Times New Roman" w:hint="eastAsia"/>
          <w:snapToGrid w:val="0"/>
          <w:szCs w:val="24"/>
          <w:lang w:val="en-CA" w:eastAsia="en-US"/>
        </w:rPr>
        <w:t xml:space="preserve">he seismic </w:t>
      </w:r>
      <w:r w:rsidRPr="005B326F">
        <w:rPr>
          <w:rFonts w:eastAsia="Times New Roman"/>
          <w:snapToGrid w:val="0"/>
          <w:szCs w:val="24"/>
          <w:lang w:val="en-CA" w:eastAsia="en-US"/>
        </w:rPr>
        <w:t>excitation</w:t>
      </w:r>
      <w:r w:rsidRPr="005B326F">
        <w:rPr>
          <w:rFonts w:eastAsia="Times New Roman" w:hint="eastAsia"/>
          <w:snapToGrid w:val="0"/>
          <w:szCs w:val="24"/>
          <w:lang w:val="en-CA" w:eastAsia="en-US"/>
        </w:rPr>
        <w:t xml:space="preserve"> was only </w:t>
      </w:r>
      <w:r w:rsidRPr="005B326F">
        <w:rPr>
          <w:rFonts w:eastAsia="Times New Roman"/>
          <w:snapToGrid w:val="0"/>
          <w:szCs w:val="24"/>
          <w:lang w:val="en-CA" w:eastAsia="en-US"/>
        </w:rPr>
        <w:t xml:space="preserve">limited </w:t>
      </w:r>
      <w:r w:rsidRPr="005B326F">
        <w:rPr>
          <w:rFonts w:eastAsia="Times New Roman" w:hint="eastAsia"/>
          <w:snapToGrid w:val="0"/>
          <w:szCs w:val="24"/>
          <w:lang w:val="en-CA" w:eastAsia="en-US"/>
        </w:rPr>
        <w:t xml:space="preserve">in </w:t>
      </w:r>
      <w:r w:rsidRPr="005B326F">
        <w:rPr>
          <w:rFonts w:eastAsia="Times New Roman"/>
          <w:snapToGrid w:val="0"/>
          <w:szCs w:val="24"/>
          <w:lang w:val="en-CA" w:eastAsia="en-US"/>
        </w:rPr>
        <w:t xml:space="preserve">the </w:t>
      </w:r>
      <w:r w:rsidRPr="005B326F">
        <w:rPr>
          <w:rFonts w:eastAsia="Times New Roman" w:hint="eastAsia"/>
          <w:snapToGrid w:val="0"/>
          <w:szCs w:val="24"/>
          <w:lang w:val="en-CA" w:eastAsia="en-US"/>
        </w:rPr>
        <w:t>transverse direction</w:t>
      </w:r>
      <w:r w:rsidRPr="005B326F">
        <w:rPr>
          <w:rFonts w:eastAsia="Times New Roman"/>
          <w:snapToGrid w:val="0"/>
          <w:szCs w:val="24"/>
          <w:lang w:val="en-CA" w:eastAsia="en-US"/>
        </w:rPr>
        <w:t>.</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Cs w:val="24"/>
          <w:lang w:val="en-US" w:eastAsia="en-US"/>
        </w:rPr>
      </w:pPr>
      <w:r w:rsidRPr="005B326F">
        <w:rPr>
          <w:rFonts w:eastAsia="Times New Roman"/>
          <w:noProof/>
          <w:snapToGrid w:val="0"/>
          <w:szCs w:val="24"/>
        </w:rPr>
        <w:drawing>
          <wp:inline distT="0" distB="0" distL="0" distR="0" wp14:anchorId="2232ABEA" wp14:editId="0CF9F146">
            <wp:extent cx="3884676" cy="2135124"/>
            <wp:effectExtent l="0" t="0" r="190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put ground moti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4676" cy="2135124"/>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Figure 4. Ground motion sequences with compressed time-axial.</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Cs w:val="24"/>
          <w:lang w:val="en-US" w:eastAsia="en-US"/>
        </w:rPr>
      </w:pPr>
      <w:r w:rsidRPr="005B326F">
        <w:rPr>
          <w:rFonts w:eastAsia="Times New Roman"/>
          <w:noProof/>
          <w:snapToGrid w:val="0"/>
          <w:szCs w:val="24"/>
        </w:rPr>
        <w:lastRenderedPageBreak/>
        <w:drawing>
          <wp:inline distT="0" distB="0" distL="0" distR="0" wp14:anchorId="75D3FF6B" wp14:editId="60FAB5BD">
            <wp:extent cx="2479548" cy="1563624"/>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put spectr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9548" cy="1563624"/>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Figure 5. Acceleration spectra of time-compressed ground motions with 3% damping ratio.</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Table 3. Test cases.</w:t>
      </w:r>
    </w:p>
    <w:p w:rsidR="005B326F" w:rsidRPr="005B326F" w:rsidRDefault="005B326F" w:rsidP="005B326F">
      <w:pPr>
        <w:widowControl w:val="0"/>
        <w:spacing w:after="0" w:line="240" w:lineRule="auto"/>
        <w:jc w:val="both"/>
        <w:rPr>
          <w:rFonts w:eastAsia="Times New Roman"/>
          <w:snapToGrid w:val="0"/>
          <w:szCs w:val="24"/>
          <w:lang w:val="en-US" w:eastAsia="en-US"/>
        </w:rPr>
      </w:pPr>
    </w:p>
    <w:tbl>
      <w:tblPr>
        <w:tblW w:w="7393" w:type="dxa"/>
        <w:jc w:val="center"/>
        <w:tblLayout w:type="fixed"/>
        <w:tblLook w:val="0000" w:firstRow="0" w:lastRow="0" w:firstColumn="0" w:lastColumn="0" w:noHBand="0" w:noVBand="0"/>
      </w:tblPr>
      <w:tblGrid>
        <w:gridCol w:w="1014"/>
        <w:gridCol w:w="993"/>
        <w:gridCol w:w="4394"/>
        <w:gridCol w:w="992"/>
      </w:tblGrid>
      <w:tr w:rsidR="005B326F" w:rsidRPr="005B326F" w:rsidTr="00FF6B28">
        <w:trPr>
          <w:trHeight w:val="298"/>
          <w:jc w:val="center"/>
        </w:trPr>
        <w:tc>
          <w:tcPr>
            <w:tcW w:w="1014" w:type="dxa"/>
            <w:tcBorders>
              <w:top w:val="single" w:sz="4" w:space="0" w:color="auto"/>
              <w:bottom w:val="single" w:sz="4" w:space="0" w:color="auto"/>
            </w:tcBorders>
            <w:vAlign w:val="center"/>
          </w:tcPr>
          <w:p w:rsidR="005B326F" w:rsidRPr="005B326F" w:rsidRDefault="005B326F" w:rsidP="005B326F">
            <w:pPr>
              <w:widowControl w:val="0"/>
              <w:spacing w:after="0" w:line="240" w:lineRule="auto"/>
              <w:jc w:val="both"/>
              <w:rPr>
                <w:rFonts w:eastAsia="Times New Roman"/>
                <w:b/>
                <w:snapToGrid w:val="0"/>
                <w:szCs w:val="24"/>
                <w:lang w:val="en-US" w:eastAsia="en-US"/>
              </w:rPr>
            </w:pPr>
            <w:r w:rsidRPr="005B326F">
              <w:rPr>
                <w:rFonts w:eastAsia="Times New Roman"/>
                <w:b/>
                <w:snapToGrid w:val="0"/>
                <w:szCs w:val="24"/>
                <w:lang w:val="en-US" w:eastAsia="en-US"/>
              </w:rPr>
              <w:t>System</w:t>
            </w:r>
          </w:p>
        </w:tc>
        <w:tc>
          <w:tcPr>
            <w:tcW w:w="993" w:type="dxa"/>
            <w:tcBorders>
              <w:top w:val="single" w:sz="4" w:space="0" w:color="auto"/>
              <w:bottom w:val="single" w:sz="4" w:space="0" w:color="auto"/>
            </w:tcBorders>
            <w:vAlign w:val="center"/>
          </w:tcPr>
          <w:p w:rsidR="005B326F" w:rsidRPr="005B326F" w:rsidRDefault="005B326F" w:rsidP="005B326F">
            <w:pPr>
              <w:widowControl w:val="0"/>
              <w:spacing w:after="0" w:line="240" w:lineRule="auto"/>
              <w:jc w:val="both"/>
              <w:rPr>
                <w:rFonts w:eastAsia="SimSun"/>
                <w:b/>
                <w:snapToGrid w:val="0"/>
                <w:szCs w:val="24"/>
                <w:lang w:val="en-US" w:eastAsia="zh-CN"/>
              </w:rPr>
            </w:pPr>
            <w:r w:rsidRPr="005B326F">
              <w:rPr>
                <w:rFonts w:eastAsia="SimSun"/>
                <w:b/>
                <w:snapToGrid w:val="0"/>
                <w:szCs w:val="24"/>
                <w:lang w:val="en-US" w:eastAsia="zh-CN"/>
              </w:rPr>
              <w:t>Case</w:t>
            </w:r>
          </w:p>
        </w:tc>
        <w:tc>
          <w:tcPr>
            <w:tcW w:w="4394" w:type="dxa"/>
            <w:tcBorders>
              <w:top w:val="single" w:sz="4" w:space="0" w:color="auto"/>
              <w:bottom w:val="single" w:sz="4" w:space="0" w:color="auto"/>
            </w:tcBorders>
            <w:vAlign w:val="center"/>
          </w:tcPr>
          <w:p w:rsidR="005B326F" w:rsidRPr="005B326F" w:rsidRDefault="005B326F" w:rsidP="005B326F">
            <w:pPr>
              <w:widowControl w:val="0"/>
              <w:spacing w:after="0" w:line="240" w:lineRule="auto"/>
              <w:jc w:val="both"/>
              <w:rPr>
                <w:rFonts w:eastAsia="Times New Roman"/>
                <w:b/>
                <w:snapToGrid w:val="0"/>
                <w:szCs w:val="24"/>
                <w:lang w:val="en-US" w:eastAsia="en-US"/>
              </w:rPr>
            </w:pPr>
            <w:r w:rsidRPr="005B326F">
              <w:rPr>
                <w:rFonts w:eastAsia="Times New Roman"/>
                <w:b/>
                <w:snapToGrid w:val="0"/>
                <w:szCs w:val="24"/>
                <w:lang w:val="en-US" w:eastAsia="en-US"/>
              </w:rPr>
              <w:t>Ground motions</w:t>
            </w:r>
          </w:p>
        </w:tc>
        <w:tc>
          <w:tcPr>
            <w:tcW w:w="992" w:type="dxa"/>
            <w:tcBorders>
              <w:top w:val="single" w:sz="4" w:space="0" w:color="auto"/>
              <w:bottom w:val="single" w:sz="4" w:space="0" w:color="auto"/>
            </w:tcBorders>
            <w:vAlign w:val="center"/>
          </w:tcPr>
          <w:p w:rsidR="005B326F" w:rsidRPr="005B326F" w:rsidRDefault="005B326F" w:rsidP="005B326F">
            <w:pPr>
              <w:widowControl w:val="0"/>
              <w:spacing w:after="0" w:line="240" w:lineRule="auto"/>
              <w:jc w:val="both"/>
              <w:rPr>
                <w:rFonts w:eastAsia="SimSun"/>
                <w:b/>
                <w:snapToGrid w:val="0"/>
                <w:szCs w:val="24"/>
                <w:lang w:val="en-US" w:eastAsia="zh-CN"/>
              </w:rPr>
            </w:pPr>
            <w:r w:rsidRPr="005B326F">
              <w:rPr>
                <w:rFonts w:eastAsia="SimSun"/>
                <w:b/>
                <w:snapToGrid w:val="0"/>
                <w:szCs w:val="24"/>
                <w:lang w:val="en-US" w:eastAsia="zh-CN"/>
              </w:rPr>
              <w:t>PGA/g</w:t>
            </w:r>
          </w:p>
        </w:tc>
      </w:tr>
      <w:tr w:rsidR="005B326F" w:rsidRPr="005B326F" w:rsidTr="00FF6B28">
        <w:trPr>
          <w:trHeight w:val="298"/>
          <w:jc w:val="center"/>
        </w:trPr>
        <w:tc>
          <w:tcPr>
            <w:tcW w:w="1014" w:type="dxa"/>
            <w:vMerge w:val="restart"/>
            <w:tcBorders>
              <w:top w:val="single" w:sz="4" w:space="0" w:color="auto"/>
            </w:tcBorders>
            <w:vAlign w:val="center"/>
          </w:tcPr>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TSDSS</w:t>
            </w:r>
          </w:p>
        </w:tc>
        <w:tc>
          <w:tcPr>
            <w:tcW w:w="993" w:type="dxa"/>
            <w:tcBorders>
              <w:top w:val="single" w:sz="4" w:space="0" w:color="auto"/>
            </w:tcBorders>
            <w:vAlign w:val="center"/>
          </w:tcPr>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Case 1</w:t>
            </w:r>
          </w:p>
        </w:tc>
        <w:tc>
          <w:tcPr>
            <w:tcW w:w="4394" w:type="dxa"/>
            <w:tcBorders>
              <w:top w:val="single" w:sz="4" w:space="0" w:color="auto"/>
            </w:tcBorders>
            <w:vAlign w:val="center"/>
          </w:tcPr>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 xml:space="preserve">Sequence </w:t>
            </w:r>
            <w:r w:rsidRPr="005B326F">
              <w:rPr>
                <w:rFonts w:eastAsia="Times New Roman"/>
                <w:i/>
                <w:snapToGrid w:val="0"/>
                <w:szCs w:val="24"/>
                <w:lang w:val="en-US" w:eastAsia="en-US"/>
              </w:rPr>
              <w:t>S</w:t>
            </w:r>
            <w:r w:rsidRPr="005B326F">
              <w:rPr>
                <w:rFonts w:eastAsia="Times New Roman"/>
                <w:snapToGrid w:val="0"/>
                <w:szCs w:val="24"/>
                <w:lang w:val="en-US" w:eastAsia="en-US"/>
              </w:rPr>
              <w:t>1</w:t>
            </w:r>
          </w:p>
        </w:tc>
        <w:tc>
          <w:tcPr>
            <w:tcW w:w="992" w:type="dxa"/>
            <w:tcBorders>
              <w:top w:val="single" w:sz="4" w:space="0" w:color="auto"/>
            </w:tcBorders>
            <w:vAlign w:val="center"/>
          </w:tcPr>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hint="eastAsia"/>
                <w:snapToGrid w:val="0"/>
                <w:szCs w:val="24"/>
                <w:lang w:val="en-US" w:eastAsia="zh-CN"/>
              </w:rPr>
              <w:t>0</w:t>
            </w:r>
            <w:r w:rsidRPr="005B326F">
              <w:rPr>
                <w:rFonts w:eastAsia="SimSun"/>
                <w:snapToGrid w:val="0"/>
                <w:szCs w:val="24"/>
                <w:lang w:val="en-US" w:eastAsia="zh-CN"/>
              </w:rPr>
              <w:t>.5</w:t>
            </w:r>
          </w:p>
        </w:tc>
      </w:tr>
      <w:tr w:rsidR="005B326F" w:rsidRPr="005B326F" w:rsidTr="00FF6B28">
        <w:trPr>
          <w:trHeight w:val="298"/>
          <w:jc w:val="center"/>
        </w:trPr>
        <w:tc>
          <w:tcPr>
            <w:tcW w:w="1014" w:type="dxa"/>
            <w:vMerge/>
            <w:vAlign w:val="center"/>
          </w:tcPr>
          <w:p w:rsidR="005B326F" w:rsidRPr="005B326F" w:rsidRDefault="005B326F" w:rsidP="005B326F">
            <w:pPr>
              <w:widowControl w:val="0"/>
              <w:spacing w:after="0" w:line="240" w:lineRule="auto"/>
              <w:jc w:val="both"/>
              <w:rPr>
                <w:rFonts w:eastAsia="Times New Roman"/>
                <w:snapToGrid w:val="0"/>
                <w:szCs w:val="24"/>
                <w:lang w:val="en-US" w:eastAsia="en-US"/>
              </w:rPr>
            </w:pPr>
          </w:p>
        </w:tc>
        <w:tc>
          <w:tcPr>
            <w:tcW w:w="993" w:type="dxa"/>
            <w:vAlign w:val="center"/>
          </w:tcPr>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Case 2</w:t>
            </w:r>
          </w:p>
        </w:tc>
        <w:tc>
          <w:tcPr>
            <w:tcW w:w="4394" w:type="dxa"/>
            <w:vAlign w:val="center"/>
          </w:tcPr>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 xml:space="preserve">Sequence </w:t>
            </w:r>
            <w:r w:rsidRPr="005B326F">
              <w:rPr>
                <w:rFonts w:eastAsia="Times New Roman"/>
                <w:i/>
                <w:snapToGrid w:val="0"/>
                <w:szCs w:val="24"/>
                <w:lang w:val="en-US" w:eastAsia="en-US"/>
              </w:rPr>
              <w:t>S</w:t>
            </w:r>
            <w:r w:rsidRPr="005B326F">
              <w:rPr>
                <w:rFonts w:eastAsia="Times New Roman"/>
                <w:snapToGrid w:val="0"/>
                <w:szCs w:val="24"/>
                <w:lang w:val="en-US" w:eastAsia="en-US"/>
              </w:rPr>
              <w:t>2</w:t>
            </w:r>
          </w:p>
        </w:tc>
        <w:tc>
          <w:tcPr>
            <w:tcW w:w="992" w:type="dxa"/>
            <w:vAlign w:val="center"/>
          </w:tcPr>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hint="eastAsia"/>
                <w:snapToGrid w:val="0"/>
                <w:szCs w:val="24"/>
                <w:lang w:val="en-US" w:eastAsia="zh-CN"/>
              </w:rPr>
              <w:t>0</w:t>
            </w:r>
            <w:r w:rsidRPr="005B326F">
              <w:rPr>
                <w:rFonts w:eastAsia="SimSun"/>
                <w:snapToGrid w:val="0"/>
                <w:szCs w:val="24"/>
                <w:lang w:val="en-US" w:eastAsia="zh-CN"/>
              </w:rPr>
              <w:t>.5</w:t>
            </w:r>
          </w:p>
        </w:tc>
      </w:tr>
      <w:tr w:rsidR="005B326F" w:rsidRPr="005B326F" w:rsidTr="00FF6B28">
        <w:trPr>
          <w:trHeight w:val="298"/>
          <w:jc w:val="center"/>
        </w:trPr>
        <w:tc>
          <w:tcPr>
            <w:tcW w:w="1014" w:type="dxa"/>
            <w:tcBorders>
              <w:bottom w:val="single" w:sz="4" w:space="0" w:color="auto"/>
            </w:tcBorders>
            <w:vAlign w:val="center"/>
          </w:tcPr>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TFS</w:t>
            </w:r>
          </w:p>
        </w:tc>
        <w:tc>
          <w:tcPr>
            <w:tcW w:w="993" w:type="dxa"/>
            <w:tcBorders>
              <w:bottom w:val="single" w:sz="4" w:space="0" w:color="auto"/>
            </w:tcBorders>
            <w:vAlign w:val="center"/>
          </w:tcPr>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Case 3</w:t>
            </w:r>
          </w:p>
        </w:tc>
        <w:tc>
          <w:tcPr>
            <w:tcW w:w="4394" w:type="dxa"/>
            <w:tcBorders>
              <w:bottom w:val="single" w:sz="4" w:space="0" w:color="auto"/>
            </w:tcBorders>
            <w:vAlign w:val="center"/>
          </w:tcPr>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EL Centro, in following with ChiChi and E10</w:t>
            </w:r>
          </w:p>
        </w:tc>
        <w:tc>
          <w:tcPr>
            <w:tcW w:w="992" w:type="dxa"/>
            <w:tcBorders>
              <w:bottom w:val="single" w:sz="4" w:space="0" w:color="auto"/>
            </w:tcBorders>
            <w:vAlign w:val="center"/>
          </w:tcPr>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hint="eastAsia"/>
                <w:snapToGrid w:val="0"/>
                <w:szCs w:val="24"/>
                <w:lang w:val="en-US" w:eastAsia="zh-CN"/>
              </w:rPr>
              <w:t>0</w:t>
            </w:r>
            <w:r w:rsidRPr="005B326F">
              <w:rPr>
                <w:rFonts w:eastAsia="SimSun"/>
                <w:snapToGrid w:val="0"/>
                <w:szCs w:val="24"/>
                <w:lang w:val="en-US" w:eastAsia="zh-CN"/>
              </w:rPr>
              <w:t>.5</w:t>
            </w:r>
          </w:p>
        </w:tc>
      </w:tr>
    </w:tbl>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suppressAutoHyphens/>
        <w:spacing w:after="0" w:line="240" w:lineRule="auto"/>
        <w:jc w:val="both"/>
        <w:outlineLvl w:val="0"/>
        <w:rPr>
          <w:rFonts w:eastAsia="Calibri"/>
          <w:b/>
          <w:caps/>
          <w:snapToGrid w:val="0"/>
          <w:szCs w:val="24"/>
          <w:lang w:val="en-US" w:eastAsia="en-US" w:bidi="en-US"/>
        </w:rPr>
      </w:pPr>
      <w:r w:rsidRPr="005B326F">
        <w:rPr>
          <w:rFonts w:eastAsia="Calibri"/>
          <w:b/>
          <w:caps/>
          <w:snapToGrid w:val="0"/>
          <w:szCs w:val="24"/>
          <w:lang w:val="en-US" w:eastAsia="en-US" w:bidi="en-US"/>
        </w:rPr>
        <w:t>4. experimental results and discussion</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5B326F">
        <w:rPr>
          <w:rFonts w:eastAsia="Times New Roman"/>
          <w:b/>
          <w:i/>
          <w:snapToGrid w:val="0"/>
          <w:szCs w:val="24"/>
          <w:lang w:val="en-US" w:eastAsia="en-US"/>
        </w:rPr>
        <w:t>4.1 Seismic responses of TSDSS under ground motion sequences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SimSun"/>
          <w:snapToGrid w:val="0"/>
          <w:szCs w:val="24"/>
          <w:lang w:val="en-US" w:eastAsia="zh-CN"/>
        </w:rPr>
        <w:t xml:space="preserve">Figure 6 presents the displacement responses of TSD at different locations under ground motion sequences </w:t>
      </w:r>
      <w:r w:rsidRPr="005B326F">
        <w:rPr>
          <w:rFonts w:eastAsia="Times New Roman"/>
          <w:i/>
          <w:snapToGrid w:val="0"/>
          <w:szCs w:val="24"/>
          <w:lang w:val="en-US" w:eastAsia="en-US"/>
        </w:rPr>
        <w:t>S</w:t>
      </w:r>
      <w:r w:rsidRPr="005B326F">
        <w:rPr>
          <w:rFonts w:eastAsia="Times New Roman"/>
          <w:snapToGrid w:val="0"/>
          <w:szCs w:val="24"/>
          <w:lang w:val="en-US" w:eastAsia="en-US"/>
        </w:rPr>
        <w:t xml:space="preserve">1 and </w:t>
      </w:r>
      <w:r w:rsidRPr="005B326F">
        <w:rPr>
          <w:rFonts w:eastAsia="Times New Roman"/>
          <w:i/>
          <w:snapToGrid w:val="0"/>
          <w:szCs w:val="24"/>
          <w:lang w:val="en-US" w:eastAsia="en-US"/>
        </w:rPr>
        <w:t>S</w:t>
      </w:r>
      <w:r w:rsidRPr="005B326F">
        <w:rPr>
          <w:rFonts w:eastAsia="Times New Roman"/>
          <w:snapToGrid w:val="0"/>
          <w:szCs w:val="24"/>
          <w:lang w:val="en-US" w:eastAsia="en-US"/>
        </w:rPr>
        <w:t xml:space="preserve">2. As can be seen from these figures, a gradual increase in the residual deformation of TSDs under sequence </w:t>
      </w:r>
      <w:r w:rsidRPr="005B326F">
        <w:rPr>
          <w:rFonts w:eastAsia="Times New Roman"/>
          <w:i/>
          <w:snapToGrid w:val="0"/>
          <w:szCs w:val="24"/>
          <w:lang w:val="en-US" w:eastAsia="en-US"/>
        </w:rPr>
        <w:t>S</w:t>
      </w:r>
      <w:r w:rsidRPr="005B326F">
        <w:rPr>
          <w:rFonts w:eastAsia="SimSun" w:hint="eastAsia"/>
          <w:snapToGrid w:val="0"/>
          <w:szCs w:val="24"/>
          <w:lang w:val="en-US" w:eastAsia="zh-CN"/>
        </w:rPr>
        <w:t>1</w:t>
      </w:r>
      <w:r w:rsidRPr="005B326F">
        <w:rPr>
          <w:rFonts w:eastAsia="Times New Roman"/>
          <w:snapToGrid w:val="0"/>
          <w:szCs w:val="24"/>
          <w:lang w:val="en-US" w:eastAsia="en-US"/>
        </w:rPr>
        <w:t xml:space="preserve"> is recorded, while no residual deformation is observed when the TSDSS experiences sequence </w:t>
      </w:r>
      <w:r w:rsidRPr="005B326F">
        <w:rPr>
          <w:rFonts w:eastAsia="Times New Roman"/>
          <w:i/>
          <w:snapToGrid w:val="0"/>
          <w:szCs w:val="24"/>
          <w:lang w:val="en-US" w:eastAsia="en-US"/>
        </w:rPr>
        <w:t>S</w:t>
      </w:r>
      <w:r w:rsidRPr="005B326F">
        <w:rPr>
          <w:rFonts w:eastAsia="SimSun" w:hint="eastAsia"/>
          <w:snapToGrid w:val="0"/>
          <w:szCs w:val="24"/>
          <w:lang w:val="en-US" w:eastAsia="zh-CN"/>
        </w:rPr>
        <w:t>2</w:t>
      </w:r>
      <w:r w:rsidRPr="005B326F">
        <w:rPr>
          <w:rFonts w:eastAsia="Times New Roman"/>
          <w:snapToGrid w:val="0"/>
          <w:szCs w:val="24"/>
          <w:lang w:val="en-US" w:eastAsia="en-US"/>
        </w:rPr>
        <w:t xml:space="preserve"> which indicates that TSDs </w:t>
      </w:r>
      <w:r w:rsidRPr="005B326F">
        <w:rPr>
          <w:rFonts w:eastAsia="SimSun" w:hint="eastAsia"/>
          <w:snapToGrid w:val="0"/>
          <w:szCs w:val="24"/>
          <w:lang w:val="en-US" w:eastAsia="zh-CN"/>
        </w:rPr>
        <w:t>s</w:t>
      </w:r>
      <w:r w:rsidRPr="005B326F">
        <w:rPr>
          <w:rFonts w:eastAsia="SimSun"/>
          <w:snapToGrid w:val="0"/>
          <w:szCs w:val="24"/>
          <w:lang w:val="en-US" w:eastAsia="zh-CN"/>
        </w:rPr>
        <w:t xml:space="preserve">till </w:t>
      </w:r>
      <w:r w:rsidRPr="005B326F">
        <w:rPr>
          <w:rFonts w:eastAsia="Times New Roman"/>
          <w:snapToGrid w:val="0"/>
          <w:szCs w:val="24"/>
          <w:lang w:val="en-US" w:eastAsia="en-US"/>
        </w:rPr>
        <w:t xml:space="preserve">remain elastic. </w:t>
      </w:r>
      <w:r w:rsidRPr="005B326F">
        <w:rPr>
          <w:rFonts w:eastAsia="SimSun"/>
          <w:snapToGrid w:val="0"/>
          <w:szCs w:val="24"/>
          <w:lang w:val="en-US" w:eastAsia="zh-CN"/>
        </w:rPr>
        <w:t xml:space="preserve">Figure 7 shows the hysteretic loops of TSD at deck-tower connection under different ground motions. It is clear that the TSD presents a </w:t>
      </w:r>
      <w:r w:rsidRPr="005B326F">
        <w:rPr>
          <w:rFonts w:eastAsia="Times New Roman"/>
          <w:snapToGrid w:val="0"/>
          <w:szCs w:val="24"/>
          <w:lang w:val="en-CA" w:eastAsia="en-US"/>
        </w:rPr>
        <w:t>plump</w:t>
      </w:r>
      <w:r w:rsidRPr="005B326F">
        <w:rPr>
          <w:rFonts w:eastAsia="Times New Roman"/>
          <w:snapToGrid w:val="0"/>
          <w:szCs w:val="24"/>
          <w:lang w:val="en-US" w:eastAsia="en-US"/>
        </w:rPr>
        <w:t xml:space="preserve"> </w:t>
      </w:r>
      <w:r w:rsidRPr="005B326F">
        <w:rPr>
          <w:rFonts w:eastAsia="Times New Roman"/>
          <w:snapToGrid w:val="0"/>
          <w:szCs w:val="24"/>
          <w:lang w:val="en-CA" w:eastAsia="en-US"/>
        </w:rPr>
        <w:t xml:space="preserve">hysteretic curve under E10, while </w:t>
      </w:r>
      <w:r w:rsidRPr="005B326F">
        <w:rPr>
          <w:rFonts w:eastAsia="Times New Roman"/>
          <w:snapToGrid w:val="0"/>
          <w:szCs w:val="24"/>
          <w:lang w:val="en-US" w:eastAsia="en-US"/>
        </w:rPr>
        <w:t xml:space="preserve">almost </w:t>
      </w:r>
      <w:r w:rsidRPr="005B326F">
        <w:rPr>
          <w:rFonts w:eastAsia="Times New Roman" w:hint="eastAsia"/>
          <w:snapToGrid w:val="0"/>
          <w:szCs w:val="24"/>
          <w:lang w:val="en-US" w:eastAsia="en-US"/>
        </w:rPr>
        <w:t xml:space="preserve">maintains </w:t>
      </w:r>
      <w:r w:rsidRPr="005B326F">
        <w:rPr>
          <w:rFonts w:eastAsia="Times New Roman"/>
          <w:snapToGrid w:val="0"/>
          <w:szCs w:val="24"/>
          <w:lang w:val="en-US" w:eastAsia="en-US"/>
        </w:rPr>
        <w:t>in</w:t>
      </w:r>
      <w:r w:rsidRPr="005B326F">
        <w:rPr>
          <w:rFonts w:eastAsia="Times New Roman" w:hint="eastAsia"/>
          <w:snapToGrid w:val="0"/>
          <w:szCs w:val="24"/>
          <w:lang w:val="en-US" w:eastAsia="en-US"/>
        </w:rPr>
        <w:t xml:space="preserve"> </w:t>
      </w:r>
      <w:r w:rsidRPr="005B326F">
        <w:rPr>
          <w:rFonts w:eastAsia="Times New Roman"/>
          <w:snapToGrid w:val="0"/>
          <w:szCs w:val="24"/>
          <w:lang w:val="en-US" w:eastAsia="en-US"/>
        </w:rPr>
        <w:t xml:space="preserve">the </w:t>
      </w:r>
      <w:r w:rsidRPr="005B326F">
        <w:rPr>
          <w:rFonts w:eastAsia="Times New Roman" w:hint="eastAsia"/>
          <w:snapToGrid w:val="0"/>
          <w:szCs w:val="24"/>
          <w:lang w:val="en-US" w:eastAsia="en-US"/>
        </w:rPr>
        <w:t xml:space="preserve">elastic </w:t>
      </w:r>
      <w:r w:rsidRPr="005B326F">
        <w:rPr>
          <w:rFonts w:eastAsia="Times New Roman"/>
          <w:snapToGrid w:val="0"/>
          <w:szCs w:val="24"/>
          <w:lang w:val="en-US" w:eastAsia="en-US"/>
        </w:rPr>
        <w:t xml:space="preserve">state under El Centro and Chi-Chi ground motions. These results indicate that the TSD possesses an excellent energy dissipation capacity, but its hysteretic behavior </w:t>
      </w:r>
      <w:r w:rsidRPr="005B326F">
        <w:rPr>
          <w:rFonts w:eastAsia="Times New Roman"/>
          <w:bCs/>
          <w:snapToGrid w:val="0"/>
          <w:szCs w:val="24"/>
          <w:lang w:val="en-US" w:eastAsia="en-US"/>
        </w:rPr>
        <w:t>is highly related to characteristics of ground motions.</w:t>
      </w:r>
    </w:p>
    <w:p w:rsidR="005B326F" w:rsidRPr="005B326F" w:rsidRDefault="005B326F" w:rsidP="005B326F">
      <w:pPr>
        <w:widowControl w:val="0"/>
        <w:spacing w:after="0" w:line="240" w:lineRule="auto"/>
        <w:jc w:val="both"/>
        <w:rPr>
          <w:rFonts w:eastAsia="SimSun"/>
          <w:snapToGrid w:val="0"/>
          <w:szCs w:val="24"/>
          <w:lang w:val="en-US" w:eastAsia="zh-CN"/>
        </w:rPr>
      </w:pPr>
    </w:p>
    <w:p w:rsidR="005B326F" w:rsidRPr="005B326F" w:rsidRDefault="005B326F" w:rsidP="005B326F">
      <w:pPr>
        <w:widowControl w:val="0"/>
        <w:tabs>
          <w:tab w:val="left" w:pos="0"/>
        </w:tabs>
        <w:suppressAutoHyphens/>
        <w:spacing w:after="0" w:line="240" w:lineRule="auto"/>
        <w:jc w:val="center"/>
        <w:rPr>
          <w:rFonts w:eastAsia="Times New Roman"/>
          <w:snapToGrid w:val="0"/>
          <w:szCs w:val="24"/>
          <w:lang w:val="en-US" w:eastAsia="en-US"/>
        </w:rPr>
      </w:pPr>
      <w:r w:rsidRPr="005B326F">
        <w:rPr>
          <w:rFonts w:eastAsia="Times New Roman"/>
          <w:noProof/>
          <w:snapToGrid w:val="0"/>
          <w:szCs w:val="24"/>
        </w:rPr>
        <w:drawing>
          <wp:inline distT="0" distB="0" distL="0" distR="0" wp14:anchorId="185DE8FB" wp14:editId="65BFA2EC">
            <wp:extent cx="5736336" cy="2638044"/>
            <wp:effectExtent l="0" t="0" r="0"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placement of TSD under S1S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6336" cy="2638044"/>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 xml:space="preserve">Figure 6. Displacement responses of TSD at different locations under sequences </w:t>
      </w:r>
      <w:r w:rsidRPr="005B326F">
        <w:rPr>
          <w:rFonts w:eastAsia="Times New Roman"/>
          <w:i/>
          <w:snapToGrid w:val="0"/>
          <w:sz w:val="20"/>
          <w:szCs w:val="24"/>
          <w:lang w:val="en-US" w:eastAsia="en-US"/>
        </w:rPr>
        <w:t>S</w:t>
      </w:r>
      <w:r w:rsidRPr="005B326F">
        <w:rPr>
          <w:rFonts w:eastAsia="Times New Roman"/>
          <w:snapToGrid w:val="0"/>
          <w:sz w:val="20"/>
          <w:szCs w:val="24"/>
          <w:lang w:val="en-US" w:eastAsia="en-US"/>
        </w:rPr>
        <w:t xml:space="preserve">1 and </w:t>
      </w:r>
      <w:r w:rsidRPr="005B326F">
        <w:rPr>
          <w:rFonts w:eastAsia="Times New Roman"/>
          <w:i/>
          <w:snapToGrid w:val="0"/>
          <w:sz w:val="20"/>
          <w:szCs w:val="24"/>
          <w:lang w:val="en-US" w:eastAsia="en-US"/>
        </w:rPr>
        <w:t>S</w:t>
      </w:r>
      <w:r w:rsidRPr="005B326F">
        <w:rPr>
          <w:rFonts w:eastAsia="Times New Roman"/>
          <w:snapToGrid w:val="0"/>
          <w:sz w:val="20"/>
          <w:szCs w:val="24"/>
          <w:lang w:val="en-US" w:eastAsia="en-US"/>
        </w:rPr>
        <w:t>2: (a), (b) and (c) TSD at deck-Tower 1, deck-Bent 2 and deck-Bent1 connections, respectively.</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uppressAutoHyphens/>
        <w:spacing w:after="0" w:line="240" w:lineRule="auto"/>
        <w:jc w:val="center"/>
        <w:rPr>
          <w:rFonts w:eastAsia="Times New Roman"/>
          <w:snapToGrid w:val="0"/>
          <w:szCs w:val="24"/>
          <w:lang w:val="en-US" w:eastAsia="en-US"/>
        </w:rPr>
      </w:pPr>
      <w:r w:rsidRPr="005B326F">
        <w:rPr>
          <w:rFonts w:eastAsia="Times New Roman"/>
          <w:noProof/>
          <w:snapToGrid w:val="0"/>
          <w:szCs w:val="24"/>
        </w:rPr>
        <w:lastRenderedPageBreak/>
        <w:drawing>
          <wp:inline distT="0" distB="0" distL="0" distR="0" wp14:anchorId="2E7033A5" wp14:editId="217A15EA">
            <wp:extent cx="6016752" cy="1726692"/>
            <wp:effectExtent l="0" t="0" r="3175" b="698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ysteresis loop of TS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6752" cy="1726692"/>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Figure 7. Hysteretic loops of TSD at deck-tower connection under different ground motions.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SimSun"/>
          <w:snapToGrid w:val="0"/>
          <w:szCs w:val="24"/>
          <w:lang w:val="en-US" w:eastAsia="zh-CN"/>
        </w:rPr>
      </w:pPr>
      <w:r w:rsidRPr="005B326F">
        <w:rPr>
          <w:rFonts w:eastAsia="SimSun"/>
          <w:snapToGrid w:val="0"/>
          <w:szCs w:val="24"/>
          <w:lang w:val="en-US" w:eastAsia="zh-CN"/>
        </w:rPr>
        <w:t>The impact of TSD residual deformation on the seismic responses of bridge is studied here. Since residual deformation occurs in TSDs under sequence</w:t>
      </w:r>
      <w:r w:rsidRPr="005B326F">
        <w:rPr>
          <w:rFonts w:eastAsia="SimSun"/>
          <w:i/>
          <w:snapToGrid w:val="0"/>
          <w:szCs w:val="24"/>
          <w:lang w:val="en-US" w:eastAsia="zh-CN"/>
        </w:rPr>
        <w:t xml:space="preserve"> S</w:t>
      </w:r>
      <w:r w:rsidRPr="005B326F">
        <w:rPr>
          <w:rFonts w:eastAsia="SimSun"/>
          <w:snapToGrid w:val="0"/>
          <w:szCs w:val="24"/>
          <w:lang w:val="en-US" w:eastAsia="zh-CN"/>
        </w:rPr>
        <w:t xml:space="preserve">1 rather than </w:t>
      </w:r>
      <w:r w:rsidRPr="005B326F">
        <w:rPr>
          <w:rFonts w:eastAsia="SimSun"/>
          <w:i/>
          <w:snapToGrid w:val="0"/>
          <w:szCs w:val="24"/>
          <w:lang w:val="en-US" w:eastAsia="zh-CN"/>
        </w:rPr>
        <w:t>S</w:t>
      </w:r>
      <w:r w:rsidRPr="005B326F">
        <w:rPr>
          <w:rFonts w:eastAsia="SimSun"/>
          <w:snapToGrid w:val="0"/>
          <w:szCs w:val="24"/>
          <w:lang w:val="en-US" w:eastAsia="zh-CN"/>
        </w:rPr>
        <w:t xml:space="preserve">2, seismic responses of TSDSS under </w:t>
      </w:r>
      <w:r w:rsidRPr="005B326F">
        <w:rPr>
          <w:rFonts w:eastAsia="SimSun"/>
          <w:i/>
          <w:snapToGrid w:val="0"/>
          <w:szCs w:val="24"/>
          <w:lang w:val="en-US" w:eastAsia="zh-CN"/>
        </w:rPr>
        <w:t>S</w:t>
      </w:r>
      <w:r w:rsidRPr="005B326F">
        <w:rPr>
          <w:rFonts w:eastAsia="SimSun"/>
          <w:snapToGrid w:val="0"/>
          <w:szCs w:val="24"/>
          <w:lang w:val="en-US" w:eastAsia="zh-CN"/>
        </w:rPr>
        <w:t xml:space="preserve">1 are discussed here. </w:t>
      </w:r>
      <w:r w:rsidRPr="005B326F">
        <w:rPr>
          <w:rFonts w:eastAsia="SimSun" w:hint="eastAsia"/>
          <w:snapToGrid w:val="0"/>
          <w:szCs w:val="24"/>
          <w:lang w:val="en-US" w:eastAsia="zh-CN"/>
        </w:rPr>
        <w:t>F</w:t>
      </w:r>
      <w:r w:rsidRPr="005B326F">
        <w:rPr>
          <w:rFonts w:eastAsia="SimSun"/>
          <w:snapToGrid w:val="0"/>
          <w:szCs w:val="24"/>
          <w:lang w:val="en-US" w:eastAsia="zh-CN"/>
        </w:rPr>
        <w:t>igure 8 shows comparisons of the forces transferred from deck to bents</w:t>
      </w:r>
      <w:r w:rsidRPr="005B326F">
        <w:rPr>
          <w:rFonts w:eastAsia="SimSun" w:hint="eastAsia"/>
          <w:snapToGrid w:val="0"/>
          <w:szCs w:val="24"/>
          <w:lang w:val="en-US" w:eastAsia="zh-CN"/>
        </w:rPr>
        <w:t>/</w:t>
      </w:r>
      <w:r w:rsidRPr="005B326F">
        <w:rPr>
          <w:rFonts w:eastAsia="SimSun"/>
          <w:snapToGrid w:val="0"/>
          <w:szCs w:val="24"/>
          <w:lang w:val="en-US" w:eastAsia="zh-CN"/>
        </w:rPr>
        <w:t>towers under the first shaking (</w:t>
      </w:r>
      <w:r w:rsidRPr="005B326F">
        <w:rPr>
          <w:rFonts w:eastAsia="SimSun"/>
          <w:i/>
          <w:snapToGrid w:val="0"/>
          <w:szCs w:val="24"/>
          <w:lang w:val="en-US" w:eastAsia="zh-CN"/>
        </w:rPr>
        <w:t>S</w:t>
      </w:r>
      <w:r w:rsidRPr="005B326F">
        <w:rPr>
          <w:rFonts w:eastAsia="SimSun"/>
          <w:snapToGrid w:val="0"/>
          <w:szCs w:val="24"/>
          <w:lang w:val="en-US" w:eastAsia="zh-CN"/>
        </w:rPr>
        <w:t>1-1) and the third shaking (</w:t>
      </w:r>
      <w:r w:rsidRPr="005B326F">
        <w:rPr>
          <w:rFonts w:eastAsia="SimSun"/>
          <w:i/>
          <w:snapToGrid w:val="0"/>
          <w:szCs w:val="24"/>
          <w:lang w:val="en-US" w:eastAsia="zh-CN"/>
        </w:rPr>
        <w:t>S</w:t>
      </w:r>
      <w:r w:rsidRPr="005B326F">
        <w:rPr>
          <w:rFonts w:eastAsia="SimSun"/>
          <w:snapToGrid w:val="0"/>
          <w:szCs w:val="24"/>
          <w:lang w:val="en-US" w:eastAsia="zh-CN"/>
        </w:rPr>
        <w:t>1-</w:t>
      </w:r>
      <w:r w:rsidRPr="005B326F">
        <w:rPr>
          <w:rFonts w:eastAsia="SimSun" w:hint="eastAsia"/>
          <w:snapToGrid w:val="0"/>
          <w:szCs w:val="24"/>
          <w:lang w:val="en-US" w:eastAsia="zh-CN"/>
        </w:rPr>
        <w:t>3</w:t>
      </w:r>
      <w:r w:rsidRPr="005B326F">
        <w:rPr>
          <w:rFonts w:eastAsia="SimSun"/>
          <w:snapToGrid w:val="0"/>
          <w:szCs w:val="24"/>
          <w:lang w:val="en-US" w:eastAsia="zh-CN"/>
        </w:rPr>
        <w:t xml:space="preserve">); </w:t>
      </w:r>
      <w:r w:rsidRPr="005B326F">
        <w:rPr>
          <w:rFonts w:eastAsia="SimSun" w:hint="eastAsia"/>
          <w:snapToGrid w:val="0"/>
          <w:szCs w:val="24"/>
          <w:lang w:val="en-US" w:eastAsia="zh-CN"/>
        </w:rPr>
        <w:t>F</w:t>
      </w:r>
      <w:r w:rsidRPr="005B326F">
        <w:rPr>
          <w:rFonts w:eastAsia="SimSun"/>
          <w:snapToGrid w:val="0"/>
          <w:szCs w:val="24"/>
          <w:lang w:val="en-US" w:eastAsia="zh-CN"/>
        </w:rPr>
        <w:t>igure 9 presents the comparisons of displacement demands along tower shaft under each shaking (</w:t>
      </w:r>
      <w:r w:rsidRPr="005B326F">
        <w:rPr>
          <w:rFonts w:eastAsia="SimSun"/>
          <w:i/>
          <w:snapToGrid w:val="0"/>
          <w:szCs w:val="24"/>
          <w:lang w:val="en-US" w:eastAsia="zh-CN"/>
        </w:rPr>
        <w:t>S</w:t>
      </w:r>
      <w:r w:rsidRPr="005B326F">
        <w:rPr>
          <w:rFonts w:eastAsia="SimSun"/>
          <w:snapToGrid w:val="0"/>
          <w:szCs w:val="24"/>
          <w:lang w:val="en-US" w:eastAsia="zh-CN"/>
        </w:rPr>
        <w:t xml:space="preserve">1-1, </w:t>
      </w:r>
      <w:r w:rsidRPr="005B326F">
        <w:rPr>
          <w:rFonts w:eastAsia="SimSun"/>
          <w:i/>
          <w:snapToGrid w:val="0"/>
          <w:szCs w:val="24"/>
          <w:lang w:val="en-US" w:eastAsia="zh-CN"/>
        </w:rPr>
        <w:t>S</w:t>
      </w:r>
      <w:r w:rsidRPr="005B326F">
        <w:rPr>
          <w:rFonts w:eastAsia="SimSun"/>
          <w:snapToGrid w:val="0"/>
          <w:szCs w:val="24"/>
          <w:lang w:val="en-US" w:eastAsia="zh-CN"/>
        </w:rPr>
        <w:t xml:space="preserve">1-2 and </w:t>
      </w:r>
      <w:r w:rsidRPr="005B326F">
        <w:rPr>
          <w:rFonts w:eastAsia="SimSun"/>
          <w:i/>
          <w:snapToGrid w:val="0"/>
          <w:szCs w:val="24"/>
          <w:lang w:val="en-US" w:eastAsia="zh-CN"/>
        </w:rPr>
        <w:t>S</w:t>
      </w:r>
      <w:r w:rsidRPr="005B326F">
        <w:rPr>
          <w:rFonts w:eastAsia="SimSun"/>
          <w:snapToGrid w:val="0"/>
          <w:szCs w:val="24"/>
          <w:lang w:val="en-US" w:eastAsia="zh-CN"/>
        </w:rPr>
        <w:t xml:space="preserve">1-3) of sequence </w:t>
      </w:r>
      <w:r w:rsidRPr="005B326F">
        <w:rPr>
          <w:rFonts w:eastAsia="SimSun"/>
          <w:i/>
          <w:snapToGrid w:val="0"/>
          <w:szCs w:val="24"/>
          <w:lang w:val="en-US" w:eastAsia="zh-CN"/>
        </w:rPr>
        <w:t>S</w:t>
      </w:r>
      <w:r w:rsidRPr="005B326F">
        <w:rPr>
          <w:rFonts w:eastAsia="SimSun"/>
          <w:snapToGrid w:val="0"/>
          <w:szCs w:val="24"/>
          <w:lang w:val="en-US" w:eastAsia="zh-CN"/>
        </w:rPr>
        <w:t>1. As can be seen from these results, it can be claimed that although the residual deformation occurs in the TSD, it almost has no influence on the quantity of forces transferred from deck to bents</w:t>
      </w:r>
      <w:r w:rsidRPr="005B326F">
        <w:rPr>
          <w:rFonts w:eastAsia="SimSun" w:hint="eastAsia"/>
          <w:snapToGrid w:val="0"/>
          <w:szCs w:val="24"/>
          <w:lang w:val="en-US" w:eastAsia="zh-CN"/>
        </w:rPr>
        <w:t>/</w:t>
      </w:r>
      <w:r w:rsidRPr="005B326F">
        <w:rPr>
          <w:rFonts w:eastAsia="SimSun"/>
          <w:snapToGrid w:val="0"/>
          <w:szCs w:val="24"/>
          <w:lang w:val="en-US" w:eastAsia="zh-CN"/>
        </w:rPr>
        <w:t xml:space="preserve">towers, and naturally </w:t>
      </w:r>
      <w:r w:rsidRPr="005B326F">
        <w:rPr>
          <w:rFonts w:eastAsia="SimSun" w:hint="eastAsia"/>
          <w:snapToGrid w:val="0"/>
          <w:szCs w:val="24"/>
          <w:lang w:val="en-US" w:eastAsia="zh-CN"/>
        </w:rPr>
        <w:t xml:space="preserve">has </w:t>
      </w:r>
      <w:r w:rsidRPr="005B326F">
        <w:rPr>
          <w:rFonts w:eastAsia="SimSun"/>
          <w:snapToGrid w:val="0"/>
          <w:szCs w:val="24"/>
          <w:lang w:val="en-US" w:eastAsia="zh-CN"/>
        </w:rPr>
        <w:t>no influence on the curvature demands at bent bottoms (for the purpose of conciseness the results is not presented here).</w:t>
      </w:r>
      <w:r w:rsidRPr="005B326F">
        <w:rPr>
          <w:rFonts w:eastAsia="SimSun" w:hint="eastAsia"/>
          <w:snapToGrid w:val="0"/>
          <w:szCs w:val="24"/>
          <w:lang w:val="en-US" w:eastAsia="zh-CN"/>
        </w:rPr>
        <w:t xml:space="preserve"> </w:t>
      </w:r>
      <w:r w:rsidRPr="005B326F">
        <w:rPr>
          <w:rFonts w:eastAsia="SimSun"/>
          <w:snapToGrid w:val="0"/>
          <w:szCs w:val="24"/>
          <w:lang w:val="en-US" w:eastAsia="zh-CN"/>
        </w:rPr>
        <w:t xml:space="preserve">It also has no influence on the displacement demands along the tower shafts as expected. In addition, </w:t>
      </w:r>
      <w:r w:rsidRPr="005B326F">
        <w:rPr>
          <w:rFonts w:eastAsia="SimSun"/>
          <w:snapToGrid w:val="0"/>
          <w:sz w:val="21"/>
          <w:szCs w:val="21"/>
          <w:lang w:val="en-US" w:eastAsia="en-US"/>
        </w:rPr>
        <w:t xml:space="preserve">no other physical damages except residual deformation were observed in the tested TSDs, and the </w:t>
      </w:r>
      <w:r w:rsidRPr="005B326F">
        <w:rPr>
          <w:rFonts w:eastAsia="SimSun"/>
          <w:bCs/>
          <w:snapToGrid w:val="0"/>
          <w:sz w:val="21"/>
          <w:szCs w:val="21"/>
          <w:lang w:val="en-US" w:eastAsia="en-US"/>
        </w:rPr>
        <w:t>load path</w:t>
      </w:r>
      <w:r w:rsidRPr="005B326F">
        <w:rPr>
          <w:rFonts w:eastAsia="SimSun" w:hint="eastAsia"/>
          <w:bCs/>
          <w:snapToGrid w:val="0"/>
          <w:sz w:val="21"/>
          <w:szCs w:val="21"/>
          <w:lang w:val="en-US" w:eastAsia="en-US"/>
        </w:rPr>
        <w:t>s</w:t>
      </w:r>
      <w:r w:rsidRPr="005B326F">
        <w:rPr>
          <w:rFonts w:eastAsia="SimSun"/>
          <w:bCs/>
          <w:snapToGrid w:val="0"/>
          <w:sz w:val="21"/>
          <w:szCs w:val="21"/>
          <w:lang w:val="en-US" w:eastAsia="en-US"/>
        </w:rPr>
        <w:t xml:space="preserve"> from the </w:t>
      </w:r>
      <w:r w:rsidRPr="005B326F">
        <w:rPr>
          <w:rFonts w:eastAsia="SimSun" w:hint="eastAsia"/>
          <w:bCs/>
          <w:snapToGrid w:val="0"/>
          <w:sz w:val="21"/>
          <w:szCs w:val="21"/>
          <w:lang w:val="en-US" w:eastAsia="en-US"/>
        </w:rPr>
        <w:t>deck</w:t>
      </w:r>
      <w:r w:rsidRPr="005B326F">
        <w:rPr>
          <w:rFonts w:eastAsia="SimSun"/>
          <w:bCs/>
          <w:snapToGrid w:val="0"/>
          <w:sz w:val="21"/>
          <w:szCs w:val="21"/>
          <w:lang w:val="en-US" w:eastAsia="en-US"/>
        </w:rPr>
        <w:t xml:space="preserve"> to bents/towers were never interrupted during the tests.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tabs>
          <w:tab w:val="left" w:pos="0"/>
        </w:tabs>
        <w:suppressAutoHyphens/>
        <w:spacing w:after="0" w:line="240" w:lineRule="auto"/>
        <w:jc w:val="center"/>
        <w:rPr>
          <w:rFonts w:eastAsia="Times New Roman"/>
          <w:snapToGrid w:val="0"/>
          <w:szCs w:val="24"/>
          <w:lang w:val="el-GR" w:eastAsia="en-US"/>
        </w:rPr>
      </w:pPr>
      <w:r w:rsidRPr="005B326F">
        <w:rPr>
          <w:rFonts w:eastAsia="Times New Roman"/>
          <w:noProof/>
          <w:snapToGrid w:val="0"/>
          <w:szCs w:val="24"/>
        </w:rPr>
        <w:drawing>
          <wp:inline distT="0" distB="0" distL="0" distR="0" wp14:anchorId="243D2FD0" wp14:editId="5A600358">
            <wp:extent cx="2839212" cy="2741676"/>
            <wp:effectExtent l="0" t="0" r="0" b="190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ce-TH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9212" cy="2741676"/>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l-GR"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snapToGrid w:val="0"/>
          <w:sz w:val="20"/>
          <w:szCs w:val="24"/>
          <w:lang w:val="en-US" w:eastAsia="en-US"/>
        </w:rPr>
        <w:t>Figure 8.Comparisons of forces transferred from deck to (a) Tower 1, (b) Bent 2 and (c) Bent 1 under the first shaking (</w:t>
      </w:r>
      <w:r w:rsidRPr="005B326F">
        <w:rPr>
          <w:rFonts w:eastAsia="Times New Roman"/>
          <w:i/>
          <w:snapToGrid w:val="0"/>
          <w:sz w:val="20"/>
          <w:szCs w:val="24"/>
          <w:lang w:val="en-US" w:eastAsia="en-US"/>
        </w:rPr>
        <w:t>S</w:t>
      </w:r>
      <w:r w:rsidRPr="005B326F">
        <w:rPr>
          <w:rFonts w:eastAsia="Times New Roman"/>
          <w:snapToGrid w:val="0"/>
          <w:sz w:val="20"/>
          <w:szCs w:val="24"/>
          <w:lang w:val="en-US" w:eastAsia="en-US"/>
        </w:rPr>
        <w:t>1-1) and the third shaking (</w:t>
      </w:r>
      <w:r w:rsidRPr="005B326F">
        <w:rPr>
          <w:rFonts w:eastAsia="Times New Roman"/>
          <w:i/>
          <w:snapToGrid w:val="0"/>
          <w:sz w:val="20"/>
          <w:szCs w:val="24"/>
          <w:lang w:val="en-US" w:eastAsia="en-US"/>
        </w:rPr>
        <w:t>S</w:t>
      </w:r>
      <w:r w:rsidRPr="005B326F">
        <w:rPr>
          <w:rFonts w:eastAsia="Times New Roman"/>
          <w:snapToGrid w:val="0"/>
          <w:sz w:val="20"/>
          <w:szCs w:val="24"/>
          <w:lang w:val="en-US" w:eastAsia="en-US"/>
        </w:rPr>
        <w:t>1-2).</w:t>
      </w:r>
    </w:p>
    <w:p w:rsidR="005B326F" w:rsidRPr="005B326F" w:rsidRDefault="005B326F" w:rsidP="005B326F">
      <w:pPr>
        <w:widowControl w:val="0"/>
        <w:spacing w:after="0" w:line="240" w:lineRule="auto"/>
        <w:jc w:val="both"/>
        <w:rPr>
          <w:rFonts w:eastAsia="Times New Roman"/>
          <w:snapToGrid w:val="0"/>
          <w:szCs w:val="24"/>
          <w:lang w:val="el-GR" w:eastAsia="en-US"/>
        </w:rPr>
      </w:pPr>
    </w:p>
    <w:p w:rsidR="005B326F" w:rsidRPr="005B326F" w:rsidRDefault="005B326F" w:rsidP="005B326F">
      <w:pPr>
        <w:widowControl w:val="0"/>
        <w:tabs>
          <w:tab w:val="left" w:pos="0"/>
        </w:tabs>
        <w:suppressAutoHyphens/>
        <w:spacing w:after="0" w:line="240" w:lineRule="auto"/>
        <w:jc w:val="center"/>
        <w:rPr>
          <w:rFonts w:eastAsia="Times New Roman"/>
          <w:snapToGrid w:val="0"/>
          <w:szCs w:val="24"/>
          <w:lang w:val="el-GR" w:eastAsia="en-US"/>
        </w:rPr>
      </w:pPr>
      <w:r w:rsidRPr="005B326F">
        <w:rPr>
          <w:rFonts w:eastAsia="Times New Roman"/>
          <w:noProof/>
          <w:snapToGrid w:val="0"/>
          <w:szCs w:val="24"/>
        </w:rPr>
        <w:lastRenderedPageBreak/>
        <w:drawing>
          <wp:inline distT="0" distB="0" distL="0" distR="0" wp14:anchorId="5F00BFA6" wp14:editId="3AC52EE7">
            <wp:extent cx="1676400" cy="2403348"/>
            <wp:effectExtent l="0" t="0" r="0" b="0"/>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地震序列下塔身位移包络.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400" cy="2403348"/>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l-GR" w:eastAsia="en-US"/>
        </w:rPr>
      </w:pPr>
    </w:p>
    <w:p w:rsidR="005B326F" w:rsidRPr="005B326F" w:rsidRDefault="005B326F" w:rsidP="005B326F">
      <w:pPr>
        <w:widowControl w:val="0"/>
        <w:spacing w:after="0" w:line="240" w:lineRule="auto"/>
        <w:jc w:val="center"/>
        <w:rPr>
          <w:rFonts w:eastAsia="SimSun"/>
          <w:snapToGrid w:val="0"/>
          <w:sz w:val="20"/>
          <w:szCs w:val="24"/>
          <w:lang w:val="el-GR" w:eastAsia="zh-CN"/>
        </w:rPr>
      </w:pPr>
      <w:r w:rsidRPr="005B326F">
        <w:rPr>
          <w:rFonts w:eastAsia="SimSun"/>
          <w:snapToGrid w:val="0"/>
          <w:sz w:val="20"/>
          <w:szCs w:val="24"/>
          <w:lang w:val="el-GR" w:eastAsia="zh-CN"/>
        </w:rPr>
        <w:t xml:space="preserve">Figure 9. </w:t>
      </w:r>
      <w:r w:rsidRPr="005B326F">
        <w:rPr>
          <w:rFonts w:eastAsia="Times New Roman"/>
          <w:snapToGrid w:val="0"/>
          <w:sz w:val="20"/>
          <w:szCs w:val="24"/>
          <w:lang w:val="en-US" w:eastAsia="en-US"/>
        </w:rPr>
        <w:t xml:space="preserve">Comparisons of displacement demands along tower shaft under each shaking of sequence </w:t>
      </w:r>
      <w:r w:rsidRPr="005B326F">
        <w:rPr>
          <w:rFonts w:eastAsia="Times New Roman"/>
          <w:i/>
          <w:snapToGrid w:val="0"/>
          <w:sz w:val="20"/>
          <w:szCs w:val="24"/>
          <w:lang w:val="en-US" w:eastAsia="en-US"/>
        </w:rPr>
        <w:t>S</w:t>
      </w:r>
      <w:r w:rsidRPr="005B326F">
        <w:rPr>
          <w:rFonts w:eastAsia="SimSun" w:hint="eastAsia"/>
          <w:snapToGrid w:val="0"/>
          <w:sz w:val="20"/>
          <w:szCs w:val="24"/>
          <w:lang w:val="en-US" w:eastAsia="zh-CN"/>
        </w:rPr>
        <w:t>1</w:t>
      </w:r>
      <w:r w:rsidRPr="005B326F">
        <w:rPr>
          <w:rFonts w:eastAsia="Times New Roman"/>
          <w:snapToGrid w:val="0"/>
          <w:sz w:val="20"/>
          <w:szCs w:val="24"/>
          <w:lang w:val="en-US" w:eastAsia="en-US"/>
        </w:rPr>
        <w:t>.</w:t>
      </w:r>
    </w:p>
    <w:p w:rsidR="005B326F" w:rsidRPr="005B326F" w:rsidRDefault="005B326F" w:rsidP="005B326F">
      <w:pPr>
        <w:widowControl w:val="0"/>
        <w:spacing w:after="0" w:line="240" w:lineRule="auto"/>
        <w:jc w:val="both"/>
        <w:rPr>
          <w:rFonts w:eastAsia="Times New Roman"/>
          <w:snapToGrid w:val="0"/>
          <w:szCs w:val="24"/>
          <w:lang w:val="el-GR" w:eastAsia="en-US"/>
        </w:rPr>
      </w:pPr>
    </w:p>
    <w:p w:rsidR="005B326F" w:rsidRPr="005B326F" w:rsidRDefault="005B326F" w:rsidP="005B326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5B326F">
        <w:rPr>
          <w:rFonts w:eastAsia="Times New Roman"/>
          <w:b/>
          <w:i/>
          <w:snapToGrid w:val="0"/>
          <w:szCs w:val="24"/>
          <w:lang w:val="en-US" w:eastAsia="en-US"/>
        </w:rPr>
        <w:t>4.2 Mitigation efficiency of TSDSS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Another aim of this study is to investigate the mitigation efficiency of TSDSS. The seismic responses of TSDSS</w:t>
      </w:r>
      <w:r w:rsidRPr="005B326F">
        <w:rPr>
          <w:rFonts w:eastAsia="Times New Roman" w:hint="eastAsia"/>
          <w:snapToGrid w:val="0"/>
          <w:szCs w:val="24"/>
          <w:lang w:val="en-US" w:eastAsia="en-US"/>
        </w:rPr>
        <w:t xml:space="preserve"> under </w:t>
      </w:r>
      <w:r w:rsidRPr="005B326F">
        <w:rPr>
          <w:rFonts w:eastAsia="Times New Roman"/>
          <w:snapToGrid w:val="0"/>
          <w:szCs w:val="24"/>
          <w:lang w:val="en-US" w:eastAsia="en-US"/>
        </w:rPr>
        <w:t>E10 (</w:t>
      </w:r>
      <w:r w:rsidRPr="005B326F">
        <w:rPr>
          <w:rFonts w:eastAsia="Times New Roman"/>
          <w:i/>
          <w:snapToGrid w:val="0"/>
          <w:szCs w:val="24"/>
          <w:lang w:val="en-US" w:eastAsia="en-US"/>
        </w:rPr>
        <w:t>S</w:t>
      </w:r>
      <w:r w:rsidRPr="005B326F">
        <w:rPr>
          <w:rFonts w:eastAsia="Times New Roman"/>
          <w:snapToGrid w:val="0"/>
          <w:szCs w:val="24"/>
          <w:lang w:val="en-US" w:eastAsia="en-US"/>
        </w:rPr>
        <w:t>1-1), El Centro (</w:t>
      </w:r>
      <w:r w:rsidRPr="005B326F">
        <w:rPr>
          <w:rFonts w:eastAsia="Times New Roman"/>
          <w:i/>
          <w:snapToGrid w:val="0"/>
          <w:szCs w:val="24"/>
          <w:lang w:val="en-US" w:eastAsia="en-US"/>
        </w:rPr>
        <w:t>S</w:t>
      </w:r>
      <w:r w:rsidRPr="005B326F">
        <w:rPr>
          <w:rFonts w:eastAsia="Times New Roman"/>
          <w:snapToGrid w:val="0"/>
          <w:szCs w:val="24"/>
          <w:lang w:val="en-US" w:eastAsia="en-US"/>
        </w:rPr>
        <w:t>2-1) and ChiChi (</w:t>
      </w:r>
      <w:r w:rsidRPr="005B326F">
        <w:rPr>
          <w:rFonts w:eastAsia="Times New Roman"/>
          <w:i/>
          <w:snapToGrid w:val="0"/>
          <w:szCs w:val="24"/>
          <w:lang w:val="en-US" w:eastAsia="en-US"/>
        </w:rPr>
        <w:t>S</w:t>
      </w:r>
      <w:r w:rsidRPr="005B326F">
        <w:rPr>
          <w:rFonts w:eastAsia="Times New Roman"/>
          <w:snapToGrid w:val="0"/>
          <w:szCs w:val="24"/>
          <w:lang w:val="en-US" w:eastAsia="en-US"/>
        </w:rPr>
        <w:t>2-3) ground motions, including accelerate responses of deck, forces transferred from deck to bents and towers, and curvature demands at bent bottoms and along tower shafts, are compared with that of TFS.</w:t>
      </w: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F</w:t>
      </w:r>
      <w:r w:rsidRPr="005B326F">
        <w:rPr>
          <w:rFonts w:eastAsia="Times New Roman" w:hint="eastAsia"/>
          <w:snapToGrid w:val="0"/>
          <w:szCs w:val="24"/>
          <w:lang w:val="en-US" w:eastAsia="en-US"/>
        </w:rPr>
        <w:t>igure</w:t>
      </w:r>
      <w:r w:rsidRPr="005B326F">
        <w:rPr>
          <w:rFonts w:eastAsia="Times New Roman"/>
          <w:snapToGrid w:val="0"/>
          <w:szCs w:val="24"/>
          <w:lang w:val="en-US" w:eastAsia="en-US"/>
        </w:rPr>
        <w:t xml:space="preserve"> </w:t>
      </w:r>
      <w:r w:rsidRPr="005B326F">
        <w:rPr>
          <w:rFonts w:eastAsia="Times New Roman" w:hint="eastAsia"/>
          <w:snapToGrid w:val="0"/>
          <w:szCs w:val="24"/>
          <w:lang w:val="en-US" w:eastAsia="en-US"/>
        </w:rPr>
        <w:t>1</w:t>
      </w:r>
      <w:r w:rsidRPr="005B326F">
        <w:rPr>
          <w:rFonts w:eastAsia="Times New Roman"/>
          <w:snapToGrid w:val="0"/>
          <w:szCs w:val="24"/>
          <w:lang w:val="en-US" w:eastAsia="en-US"/>
        </w:rPr>
        <w:t>0</w:t>
      </w:r>
      <w:r w:rsidRPr="005B326F">
        <w:rPr>
          <w:rFonts w:eastAsia="Times New Roman" w:hint="eastAsia"/>
          <w:snapToGrid w:val="0"/>
          <w:szCs w:val="24"/>
          <w:lang w:val="en-US" w:eastAsia="en-US"/>
        </w:rPr>
        <w:t xml:space="preserve"> </w:t>
      </w:r>
      <w:r w:rsidRPr="005B326F">
        <w:rPr>
          <w:rFonts w:eastAsia="Times New Roman"/>
          <w:snapToGrid w:val="0"/>
          <w:szCs w:val="24"/>
          <w:lang w:val="en-US" w:eastAsia="en-US"/>
        </w:rPr>
        <w:t xml:space="preserve">presents the comparisons of </w:t>
      </w:r>
      <w:r w:rsidRPr="005B326F">
        <w:rPr>
          <w:rFonts w:eastAsia="Times New Roman" w:hint="eastAsia"/>
          <w:snapToGrid w:val="0"/>
          <w:szCs w:val="24"/>
          <w:lang w:val="en-US" w:eastAsia="en-US"/>
        </w:rPr>
        <w:t>peak transverse-acceleration</w:t>
      </w:r>
      <w:r w:rsidRPr="005B326F">
        <w:rPr>
          <w:rFonts w:eastAsia="SimSun" w:hint="eastAsia"/>
          <w:snapToGrid w:val="0"/>
          <w:szCs w:val="24"/>
          <w:lang w:val="en-US" w:eastAsia="zh-CN"/>
        </w:rPr>
        <w:t>s</w:t>
      </w:r>
      <w:r w:rsidRPr="005B326F">
        <w:rPr>
          <w:rFonts w:eastAsia="Times New Roman" w:hint="eastAsia"/>
          <w:snapToGrid w:val="0"/>
          <w:szCs w:val="24"/>
          <w:lang w:val="en-US" w:eastAsia="en-US"/>
        </w:rPr>
        <w:t xml:space="preserve"> along </w:t>
      </w:r>
      <w:r w:rsidRPr="005B326F">
        <w:rPr>
          <w:rFonts w:eastAsia="Times New Roman"/>
          <w:snapToGrid w:val="0"/>
          <w:szCs w:val="24"/>
          <w:lang w:val="en-US" w:eastAsia="en-US"/>
        </w:rPr>
        <w:t xml:space="preserve">the </w:t>
      </w:r>
      <w:r w:rsidRPr="005B326F">
        <w:rPr>
          <w:rFonts w:eastAsia="Times New Roman" w:hint="eastAsia"/>
          <w:snapToGrid w:val="0"/>
          <w:szCs w:val="24"/>
          <w:lang w:val="en-US" w:eastAsia="en-US"/>
        </w:rPr>
        <w:t xml:space="preserve">deck </w:t>
      </w:r>
      <w:r w:rsidRPr="005B326F">
        <w:rPr>
          <w:rFonts w:eastAsia="Times New Roman"/>
          <w:snapToGrid w:val="0"/>
          <w:szCs w:val="24"/>
          <w:lang w:val="en-US" w:eastAsia="en-US"/>
        </w:rPr>
        <w:t>between</w:t>
      </w:r>
      <w:r w:rsidRPr="005B326F">
        <w:rPr>
          <w:rFonts w:eastAsia="Times New Roman" w:hint="eastAsia"/>
          <w:snapToGrid w:val="0"/>
          <w:szCs w:val="24"/>
          <w:lang w:val="en-US" w:eastAsia="en-US"/>
        </w:rPr>
        <w:t xml:space="preserve"> TSDSS and TFS</w:t>
      </w:r>
      <w:r w:rsidRPr="005B326F">
        <w:rPr>
          <w:rFonts w:eastAsia="Times New Roman"/>
          <w:snapToGrid w:val="0"/>
          <w:szCs w:val="24"/>
          <w:lang w:val="en-US" w:eastAsia="en-US"/>
        </w:rPr>
        <w:t>.</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D</w:t>
      </w:r>
      <w:r w:rsidRPr="005B326F">
        <w:rPr>
          <w:rFonts w:eastAsia="Times New Roman" w:hint="eastAsia"/>
          <w:snapToGrid w:val="0"/>
          <w:szCs w:val="24"/>
          <w:lang w:val="en-US" w:eastAsia="en-US"/>
        </w:rPr>
        <w:t xml:space="preserve">ue to the symmetry of structure, only </w:t>
      </w:r>
      <w:r w:rsidRPr="005B326F">
        <w:rPr>
          <w:rFonts w:eastAsia="Times New Roman"/>
          <w:snapToGrid w:val="0"/>
          <w:szCs w:val="24"/>
          <w:lang w:val="en-US" w:eastAsia="en-US"/>
        </w:rPr>
        <w:t xml:space="preserve">left </w:t>
      </w:r>
      <w:r w:rsidRPr="005B326F">
        <w:rPr>
          <w:rFonts w:eastAsia="Times New Roman" w:hint="eastAsia"/>
          <w:snapToGrid w:val="0"/>
          <w:szCs w:val="24"/>
          <w:lang w:val="en-US" w:eastAsia="en-US"/>
        </w:rPr>
        <w:t xml:space="preserve">half of the </w:t>
      </w:r>
      <w:r w:rsidRPr="005B326F">
        <w:rPr>
          <w:rFonts w:eastAsia="Times New Roman"/>
          <w:snapToGrid w:val="0"/>
          <w:szCs w:val="24"/>
          <w:lang w:val="en-US" w:eastAsia="en-US"/>
        </w:rPr>
        <w:t>whole-bridge</w:t>
      </w:r>
      <w:r w:rsidRPr="005B326F">
        <w:rPr>
          <w:rFonts w:eastAsia="Times New Roman" w:hint="eastAsia"/>
          <w:snapToGrid w:val="0"/>
          <w:szCs w:val="24"/>
          <w:lang w:val="en-US" w:eastAsia="en-US"/>
        </w:rPr>
        <w:t xml:space="preserve"> results are presented. </w:t>
      </w:r>
      <w:r w:rsidRPr="005B326F">
        <w:rPr>
          <w:rFonts w:eastAsia="Times New Roman"/>
          <w:snapToGrid w:val="0"/>
          <w:szCs w:val="24"/>
          <w:lang w:val="en-US" w:eastAsia="en-US"/>
        </w:rPr>
        <w:t>I</w:t>
      </w:r>
      <w:r w:rsidRPr="005B326F">
        <w:rPr>
          <w:rFonts w:eastAsia="Times New Roman" w:hint="eastAsia"/>
          <w:snapToGrid w:val="0"/>
          <w:szCs w:val="24"/>
          <w:lang w:val="en-US" w:eastAsia="en-US"/>
        </w:rPr>
        <w:t xml:space="preserve">t is </w:t>
      </w:r>
      <w:r w:rsidRPr="005B326F">
        <w:rPr>
          <w:rFonts w:eastAsia="Times New Roman"/>
          <w:snapToGrid w:val="0"/>
          <w:szCs w:val="24"/>
          <w:lang w:val="en-US" w:eastAsia="en-US"/>
        </w:rPr>
        <w:t>obvious</w:t>
      </w:r>
      <w:r w:rsidRPr="005B326F">
        <w:rPr>
          <w:rFonts w:eastAsia="Times New Roman" w:hint="eastAsia"/>
          <w:snapToGrid w:val="0"/>
          <w:szCs w:val="24"/>
          <w:lang w:val="en-US" w:eastAsia="en-US"/>
        </w:rPr>
        <w:t xml:space="preserve"> that the peak transverse-acceleration of </w:t>
      </w:r>
      <w:r w:rsidRPr="005B326F">
        <w:rPr>
          <w:rFonts w:eastAsia="Times New Roman"/>
          <w:snapToGrid w:val="0"/>
          <w:szCs w:val="24"/>
          <w:lang w:val="en-US" w:eastAsia="en-US"/>
        </w:rPr>
        <w:t xml:space="preserve">the </w:t>
      </w:r>
      <w:r w:rsidRPr="005B326F">
        <w:rPr>
          <w:rFonts w:eastAsia="Times New Roman" w:hint="eastAsia"/>
          <w:snapToGrid w:val="0"/>
          <w:szCs w:val="24"/>
          <w:lang w:val="en-US" w:eastAsia="en-US"/>
        </w:rPr>
        <w:t>TSDSS is significant</w:t>
      </w:r>
      <w:r w:rsidRPr="005B326F">
        <w:rPr>
          <w:rFonts w:eastAsia="Times New Roman"/>
          <w:snapToGrid w:val="0"/>
          <w:szCs w:val="24"/>
          <w:lang w:val="en-US" w:eastAsia="en-US"/>
        </w:rPr>
        <w:t>ly</w:t>
      </w:r>
      <w:r w:rsidRPr="005B326F">
        <w:rPr>
          <w:rFonts w:eastAsia="Times New Roman" w:hint="eastAsia"/>
          <w:snapToGrid w:val="0"/>
          <w:szCs w:val="24"/>
          <w:lang w:val="en-US" w:eastAsia="en-US"/>
        </w:rPr>
        <w:t xml:space="preserve"> lower than that of </w:t>
      </w:r>
      <w:r w:rsidRPr="005B326F">
        <w:rPr>
          <w:rFonts w:eastAsia="Times New Roman"/>
          <w:snapToGrid w:val="0"/>
          <w:szCs w:val="24"/>
          <w:lang w:val="en-US" w:eastAsia="en-US"/>
        </w:rPr>
        <w:t xml:space="preserve">the </w:t>
      </w:r>
      <w:r w:rsidRPr="005B326F">
        <w:rPr>
          <w:rFonts w:eastAsia="Times New Roman" w:hint="eastAsia"/>
          <w:snapToGrid w:val="0"/>
          <w:szCs w:val="24"/>
          <w:lang w:val="en-US" w:eastAsia="en-US"/>
        </w:rPr>
        <w:t>TFS</w:t>
      </w:r>
      <w:r w:rsidRPr="005B326F">
        <w:rPr>
          <w:rFonts w:eastAsia="Times New Roman"/>
          <w:snapToGrid w:val="0"/>
          <w:szCs w:val="24"/>
          <w:lang w:val="en-US" w:eastAsia="en-US"/>
        </w:rPr>
        <w:t>,</w:t>
      </w:r>
      <w:r w:rsidRPr="005B326F">
        <w:rPr>
          <w:rFonts w:eastAsia="SimSun" w:hint="eastAsia"/>
          <w:snapToGrid w:val="0"/>
          <w:szCs w:val="24"/>
          <w:lang w:val="en-US" w:eastAsia="zh-CN"/>
        </w:rPr>
        <w:t xml:space="preserve"> </w:t>
      </w:r>
      <w:r w:rsidRPr="005B326F">
        <w:rPr>
          <w:rFonts w:eastAsia="Times New Roman" w:hint="eastAsia"/>
          <w:snapToGrid w:val="0"/>
          <w:szCs w:val="24"/>
          <w:lang w:val="en-US" w:eastAsia="en-US"/>
        </w:rPr>
        <w:t xml:space="preserve">which </w:t>
      </w:r>
      <w:r w:rsidRPr="005B326F">
        <w:rPr>
          <w:rFonts w:eastAsia="Times New Roman"/>
          <w:snapToGrid w:val="0"/>
          <w:szCs w:val="24"/>
          <w:lang w:val="en-US" w:eastAsia="en-US"/>
        </w:rPr>
        <w:t>results</w:t>
      </w:r>
      <w:r w:rsidRPr="005B326F">
        <w:rPr>
          <w:rFonts w:eastAsia="Times New Roman" w:hint="eastAsia"/>
          <w:snapToGrid w:val="0"/>
          <w:szCs w:val="24"/>
          <w:lang w:val="en-US" w:eastAsia="en-US"/>
        </w:rPr>
        <w:t xml:space="preserve"> </w:t>
      </w:r>
      <w:r w:rsidRPr="005B326F">
        <w:rPr>
          <w:rFonts w:eastAsia="Times New Roman"/>
          <w:snapToGrid w:val="0"/>
          <w:szCs w:val="24"/>
          <w:lang w:val="en-US" w:eastAsia="en-US"/>
        </w:rPr>
        <w:t>in</w:t>
      </w:r>
      <w:r w:rsidRPr="005B326F">
        <w:rPr>
          <w:rFonts w:eastAsia="Times New Roman" w:hint="eastAsia"/>
          <w:snapToGrid w:val="0"/>
          <w:szCs w:val="24"/>
          <w:lang w:val="en-US" w:eastAsia="en-US"/>
        </w:rPr>
        <w:t xml:space="preserve"> t</w:t>
      </w:r>
      <w:r w:rsidRPr="005B326F">
        <w:rPr>
          <w:rFonts w:eastAsia="Times New Roman"/>
          <w:snapToGrid w:val="0"/>
          <w:szCs w:val="24"/>
          <w:lang w:val="en-US" w:eastAsia="en-US"/>
        </w:rPr>
        <w:t xml:space="preserve">he remarkable decrease of the </w:t>
      </w:r>
      <w:r w:rsidRPr="005B326F">
        <w:rPr>
          <w:rFonts w:eastAsia="Times New Roman" w:hint="eastAsia"/>
          <w:snapToGrid w:val="0"/>
          <w:szCs w:val="24"/>
          <w:lang w:val="en-US" w:eastAsia="en-US"/>
        </w:rPr>
        <w:t>horizontal forces</w:t>
      </w:r>
      <w:r w:rsidRPr="005B326F">
        <w:rPr>
          <w:rFonts w:eastAsia="Times New Roman"/>
          <w:snapToGrid w:val="0"/>
          <w:szCs w:val="24"/>
          <w:lang w:val="en-US" w:eastAsia="en-US"/>
        </w:rPr>
        <w:t xml:space="preserve"> transferred </w:t>
      </w:r>
      <w:r w:rsidRPr="005B326F">
        <w:rPr>
          <w:rFonts w:eastAsia="Times New Roman" w:hint="eastAsia"/>
          <w:snapToGrid w:val="0"/>
          <w:szCs w:val="24"/>
          <w:lang w:val="en-US" w:eastAsia="en-US"/>
        </w:rPr>
        <w:t xml:space="preserve">from </w:t>
      </w:r>
      <w:r w:rsidRPr="005B326F">
        <w:rPr>
          <w:rFonts w:eastAsia="Times New Roman"/>
          <w:snapToGrid w:val="0"/>
          <w:szCs w:val="24"/>
          <w:lang w:val="en-US" w:eastAsia="en-US"/>
        </w:rPr>
        <w:t xml:space="preserve">the </w:t>
      </w:r>
      <w:r w:rsidRPr="005B326F">
        <w:rPr>
          <w:rFonts w:eastAsia="Times New Roman" w:hint="eastAsia"/>
          <w:snapToGrid w:val="0"/>
          <w:szCs w:val="24"/>
          <w:lang w:val="en-US" w:eastAsia="en-US"/>
        </w:rPr>
        <w:t xml:space="preserve">deck to </w:t>
      </w:r>
      <w:r w:rsidRPr="005B326F">
        <w:rPr>
          <w:rFonts w:eastAsia="Times New Roman"/>
          <w:snapToGrid w:val="0"/>
          <w:szCs w:val="24"/>
          <w:lang w:val="en-US" w:eastAsia="en-US"/>
        </w:rPr>
        <w:t xml:space="preserve">bents </w:t>
      </w:r>
      <w:r w:rsidRPr="005B326F">
        <w:rPr>
          <w:rFonts w:eastAsia="Times New Roman" w:hint="eastAsia"/>
          <w:snapToGrid w:val="0"/>
          <w:szCs w:val="24"/>
          <w:lang w:val="en-US" w:eastAsia="en-US"/>
        </w:rPr>
        <w:t xml:space="preserve">and towers in </w:t>
      </w:r>
      <w:r w:rsidRPr="005B326F">
        <w:rPr>
          <w:rFonts w:eastAsia="Times New Roman"/>
          <w:snapToGrid w:val="0"/>
          <w:szCs w:val="24"/>
          <w:lang w:val="en-US" w:eastAsia="en-US"/>
        </w:rPr>
        <w:t xml:space="preserve">the </w:t>
      </w:r>
      <w:r w:rsidRPr="005B326F">
        <w:rPr>
          <w:rFonts w:eastAsia="Times New Roman" w:hint="eastAsia"/>
          <w:snapToGrid w:val="0"/>
          <w:szCs w:val="24"/>
          <w:lang w:val="en-US" w:eastAsia="en-US"/>
        </w:rPr>
        <w:t>TSDSS</w:t>
      </w:r>
      <w:r w:rsidRPr="005B326F">
        <w:rPr>
          <w:rFonts w:eastAsia="Times New Roman"/>
          <w:snapToGrid w:val="0"/>
          <w:szCs w:val="24"/>
          <w:lang w:val="en-US" w:eastAsia="en-US"/>
        </w:rPr>
        <w:t>, as listed in Table 4</w:t>
      </w:r>
      <w:r w:rsidRPr="005B326F">
        <w:rPr>
          <w:rFonts w:eastAsia="Times New Roman" w:hint="eastAsia"/>
          <w:snapToGrid w:val="0"/>
          <w:szCs w:val="24"/>
          <w:lang w:val="en-US" w:eastAsia="en-US"/>
        </w:rPr>
        <w:t xml:space="preserve">. </w:t>
      </w:r>
      <w:r w:rsidRPr="005B326F">
        <w:rPr>
          <w:rFonts w:eastAsia="Times New Roman"/>
          <w:snapToGrid w:val="0"/>
          <w:szCs w:val="24"/>
          <w:lang w:val="en-US" w:eastAsia="en-US"/>
        </w:rPr>
        <w:t>More specifically, compared with TFS, the forces transferred for deck to Bent1, Bent2 and Tower 1 decrease averagely by 76%, 77% and 84%, respectively.</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tabs>
          <w:tab w:val="left" w:pos="0"/>
        </w:tabs>
        <w:suppressAutoHyphens/>
        <w:spacing w:after="0" w:line="240" w:lineRule="auto"/>
        <w:jc w:val="center"/>
        <w:rPr>
          <w:rFonts w:eastAsia="Times New Roman"/>
          <w:snapToGrid w:val="0"/>
          <w:szCs w:val="24"/>
          <w:lang w:val="el-GR" w:eastAsia="en-US"/>
        </w:rPr>
      </w:pPr>
      <w:r w:rsidRPr="005B326F">
        <w:rPr>
          <w:rFonts w:eastAsia="Times New Roman"/>
          <w:noProof/>
          <w:snapToGrid w:val="0"/>
          <w:szCs w:val="24"/>
        </w:rPr>
        <w:drawing>
          <wp:inline distT="0" distB="0" distL="0" distR="0" wp14:anchorId="1DA7C478" wp14:editId="482900E4">
            <wp:extent cx="2746248" cy="1851660"/>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ison of girder acceler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6248" cy="1851660"/>
                    </a:xfrm>
                    <a:prstGeom prst="rect">
                      <a:avLst/>
                    </a:prstGeom>
                  </pic:spPr>
                </pic:pic>
              </a:graphicData>
            </a:graphic>
          </wp:inline>
        </w:drawing>
      </w:r>
    </w:p>
    <w:p w:rsidR="005B326F" w:rsidRPr="005B326F" w:rsidRDefault="005B326F" w:rsidP="005B326F">
      <w:pPr>
        <w:widowControl w:val="0"/>
        <w:spacing w:after="0" w:line="240" w:lineRule="auto"/>
        <w:jc w:val="both"/>
        <w:rPr>
          <w:rFonts w:eastAsia="Times New Roman"/>
          <w:snapToGrid w:val="0"/>
          <w:szCs w:val="24"/>
          <w:lang w:val="el-GR" w:eastAsia="en-US"/>
        </w:rPr>
      </w:pPr>
    </w:p>
    <w:p w:rsidR="005B326F" w:rsidRPr="005B326F" w:rsidRDefault="005B326F" w:rsidP="005B326F">
      <w:pPr>
        <w:widowControl w:val="0"/>
        <w:spacing w:after="0" w:line="240" w:lineRule="auto"/>
        <w:jc w:val="center"/>
        <w:rPr>
          <w:rFonts w:eastAsia="SimSun"/>
          <w:snapToGrid w:val="0"/>
          <w:sz w:val="20"/>
          <w:szCs w:val="24"/>
          <w:lang w:val="el-GR" w:eastAsia="zh-CN"/>
        </w:rPr>
      </w:pPr>
      <w:r w:rsidRPr="005B326F">
        <w:rPr>
          <w:rFonts w:eastAsia="SimSun"/>
          <w:snapToGrid w:val="0"/>
          <w:sz w:val="20"/>
          <w:szCs w:val="24"/>
          <w:lang w:val="el-GR" w:eastAsia="zh-CN"/>
        </w:rPr>
        <w:t>Figure 10. Comparisons of accleration responses along deck between TSDSS and TFS.</w:t>
      </w:r>
    </w:p>
    <w:p w:rsidR="005B326F" w:rsidRPr="005B326F" w:rsidRDefault="005B326F" w:rsidP="005B326F">
      <w:pPr>
        <w:widowControl w:val="0"/>
        <w:spacing w:after="0" w:line="240" w:lineRule="auto"/>
        <w:jc w:val="both"/>
        <w:rPr>
          <w:rFonts w:eastAsia="Times New Roman"/>
          <w:snapToGrid w:val="0"/>
          <w:szCs w:val="24"/>
          <w:lang w:val="el-GR" w:eastAsia="en-US"/>
        </w:rPr>
      </w:pPr>
    </w:p>
    <w:p w:rsidR="005B326F" w:rsidRPr="005B326F" w:rsidRDefault="005B326F" w:rsidP="005B326F">
      <w:pPr>
        <w:widowControl w:val="0"/>
        <w:spacing w:after="0" w:line="240" w:lineRule="auto"/>
        <w:jc w:val="center"/>
        <w:rPr>
          <w:rFonts w:eastAsia="Times New Roman"/>
          <w:snapToGrid w:val="0"/>
          <w:sz w:val="20"/>
          <w:szCs w:val="24"/>
          <w:lang w:val="en-US" w:eastAsia="en-US"/>
        </w:rPr>
      </w:pPr>
      <w:r w:rsidRPr="005B326F">
        <w:rPr>
          <w:rFonts w:eastAsia="Times New Roman" w:hint="eastAsia"/>
          <w:snapToGrid w:val="0"/>
          <w:sz w:val="20"/>
          <w:szCs w:val="24"/>
          <w:lang w:val="en-US" w:eastAsia="en-US"/>
        </w:rPr>
        <w:t>Table</w:t>
      </w:r>
      <w:r w:rsidRPr="005B326F">
        <w:rPr>
          <w:rFonts w:eastAsia="Times New Roman"/>
          <w:snapToGrid w:val="0"/>
          <w:sz w:val="20"/>
          <w:szCs w:val="24"/>
          <w:lang w:val="en-US" w:eastAsia="en-US"/>
        </w:rPr>
        <w:t xml:space="preserve"> 4.</w:t>
      </w:r>
      <w:r w:rsidRPr="005B326F">
        <w:rPr>
          <w:rFonts w:eastAsia="Times New Roman" w:hint="eastAsia"/>
          <w:snapToGrid w:val="0"/>
          <w:sz w:val="20"/>
          <w:szCs w:val="24"/>
          <w:lang w:val="en-US" w:eastAsia="en-US"/>
        </w:rPr>
        <w:t xml:space="preserve"> </w:t>
      </w:r>
      <w:r w:rsidRPr="005B326F">
        <w:rPr>
          <w:rFonts w:eastAsia="Times New Roman"/>
          <w:snapToGrid w:val="0"/>
          <w:sz w:val="20"/>
          <w:szCs w:val="24"/>
          <w:lang w:val="en-US" w:eastAsia="en-US"/>
        </w:rPr>
        <w:t xml:space="preserve">Peak </w:t>
      </w:r>
      <w:r w:rsidRPr="005B326F">
        <w:rPr>
          <w:rFonts w:eastAsia="Times New Roman" w:hint="eastAsia"/>
          <w:snapToGrid w:val="0"/>
          <w:sz w:val="20"/>
          <w:szCs w:val="24"/>
          <w:lang w:val="en-US" w:eastAsia="en-US"/>
        </w:rPr>
        <w:t>transverse force</w:t>
      </w:r>
      <w:r w:rsidRPr="005B326F">
        <w:rPr>
          <w:rFonts w:eastAsia="Times New Roman"/>
          <w:snapToGrid w:val="0"/>
          <w:sz w:val="20"/>
          <w:szCs w:val="24"/>
          <w:lang w:val="en-US" w:eastAsia="en-US"/>
        </w:rPr>
        <w:t>s</w:t>
      </w:r>
      <w:r w:rsidRPr="005B326F">
        <w:rPr>
          <w:rFonts w:eastAsia="Times New Roman" w:hint="eastAsia"/>
          <w:snapToGrid w:val="0"/>
          <w:sz w:val="20"/>
          <w:szCs w:val="24"/>
          <w:lang w:val="en-US" w:eastAsia="en-US"/>
        </w:rPr>
        <w:t xml:space="preserve"> at deck-bent</w:t>
      </w:r>
      <w:r w:rsidRPr="005B326F">
        <w:rPr>
          <w:rFonts w:eastAsia="Times New Roman"/>
          <w:snapToGrid w:val="0"/>
          <w:sz w:val="20"/>
          <w:szCs w:val="24"/>
          <w:lang w:val="en-US" w:eastAsia="en-US"/>
        </w:rPr>
        <w:t xml:space="preserve">/tower connections </w:t>
      </w:r>
      <w:r w:rsidRPr="005B326F">
        <w:rPr>
          <w:rFonts w:eastAsia="SimSun" w:hint="eastAsia"/>
          <w:snapToGrid w:val="0"/>
          <w:sz w:val="20"/>
          <w:szCs w:val="24"/>
          <w:lang w:val="en-US" w:eastAsia="zh-CN"/>
        </w:rPr>
        <w:t>in</w:t>
      </w:r>
      <w:r w:rsidRPr="005B326F">
        <w:rPr>
          <w:rFonts w:eastAsia="Times New Roman"/>
          <w:snapToGrid w:val="0"/>
          <w:sz w:val="20"/>
          <w:szCs w:val="24"/>
          <w:lang w:val="en-US" w:eastAsia="en-US"/>
        </w:rPr>
        <w:t xml:space="preserve"> TFS and TSDSS under different ground motions.</w:t>
      </w:r>
    </w:p>
    <w:p w:rsidR="005B326F" w:rsidRPr="005B326F" w:rsidRDefault="005B326F" w:rsidP="005B326F">
      <w:pPr>
        <w:widowControl w:val="0"/>
        <w:spacing w:after="0" w:line="240" w:lineRule="auto"/>
        <w:jc w:val="both"/>
        <w:rPr>
          <w:rFonts w:eastAsia="Times New Roman"/>
          <w:snapToGrid w:val="0"/>
          <w:szCs w:val="24"/>
          <w:lang w:val="en-US" w:eastAsia="en-US"/>
        </w:rPr>
      </w:pPr>
    </w:p>
    <w:tbl>
      <w:tblPr>
        <w:tblW w:w="8565" w:type="dxa"/>
        <w:jc w:val="center"/>
        <w:tblBorders>
          <w:top w:val="single" w:sz="8" w:space="0" w:color="auto"/>
          <w:bottom w:val="single" w:sz="8" w:space="0" w:color="auto"/>
        </w:tblBorders>
        <w:tblLook w:val="04A0" w:firstRow="1" w:lastRow="0" w:firstColumn="1" w:lastColumn="0" w:noHBand="0" w:noVBand="1"/>
      </w:tblPr>
      <w:tblGrid>
        <w:gridCol w:w="1512"/>
        <w:gridCol w:w="1855"/>
        <w:gridCol w:w="1005"/>
        <w:gridCol w:w="828"/>
        <w:gridCol w:w="1947"/>
        <w:gridCol w:w="1418"/>
      </w:tblGrid>
      <w:tr w:rsidR="005B326F" w:rsidRPr="005B326F" w:rsidTr="00FF6B28">
        <w:trPr>
          <w:trHeight w:val="444"/>
          <w:jc w:val="center"/>
        </w:trPr>
        <w:tc>
          <w:tcPr>
            <w:tcW w:w="1512" w:type="dxa"/>
            <w:tcBorders>
              <w:top w:val="single" w:sz="8" w:space="0" w:color="auto"/>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b/>
                <w:snapToGrid w:val="0"/>
                <w:color w:val="000000"/>
                <w:szCs w:val="21"/>
                <w:lang w:val="en-US" w:eastAsia="en-US"/>
              </w:rPr>
            </w:pPr>
            <w:r w:rsidRPr="005B326F">
              <w:rPr>
                <w:rFonts w:eastAsia="SimSun"/>
                <w:b/>
                <w:snapToGrid w:val="0"/>
                <w:color w:val="000000"/>
                <w:szCs w:val="21"/>
                <w:lang w:val="en-US" w:eastAsia="en-US"/>
              </w:rPr>
              <w:t>C</w:t>
            </w:r>
            <w:r w:rsidRPr="005B326F">
              <w:rPr>
                <w:rFonts w:eastAsia="SimSun" w:hint="eastAsia"/>
                <w:b/>
                <w:snapToGrid w:val="0"/>
                <w:color w:val="000000"/>
                <w:szCs w:val="21"/>
                <w:lang w:val="en-US" w:eastAsia="en-US"/>
              </w:rPr>
              <w:t>onnection</w:t>
            </w:r>
          </w:p>
        </w:tc>
        <w:tc>
          <w:tcPr>
            <w:tcW w:w="1855" w:type="dxa"/>
            <w:tcBorders>
              <w:top w:val="single" w:sz="8" w:space="0" w:color="auto"/>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b/>
                <w:snapToGrid w:val="0"/>
                <w:color w:val="000000"/>
                <w:szCs w:val="21"/>
                <w:lang w:val="en-US" w:eastAsia="en-US"/>
              </w:rPr>
            </w:pPr>
            <w:r w:rsidRPr="005B326F">
              <w:rPr>
                <w:rFonts w:eastAsia="SimSun" w:hint="eastAsia"/>
                <w:b/>
                <w:snapToGrid w:val="0"/>
                <w:color w:val="000000"/>
                <w:szCs w:val="21"/>
                <w:lang w:val="en-US" w:eastAsia="en-US"/>
              </w:rPr>
              <w:t>Ground</w:t>
            </w:r>
            <w:r w:rsidRPr="005B326F">
              <w:rPr>
                <w:rFonts w:eastAsia="SimSun" w:hint="eastAsia"/>
                <w:b/>
                <w:snapToGrid w:val="0"/>
                <w:color w:val="000000"/>
                <w:szCs w:val="21"/>
                <w:lang w:val="en-US" w:eastAsia="zh-CN"/>
              </w:rPr>
              <w:t xml:space="preserve"> </w:t>
            </w:r>
            <w:r w:rsidRPr="005B326F">
              <w:rPr>
                <w:rFonts w:eastAsia="SimSun"/>
                <w:b/>
                <w:snapToGrid w:val="0"/>
                <w:color w:val="000000"/>
                <w:szCs w:val="21"/>
                <w:lang w:val="en-US" w:eastAsia="en-US"/>
              </w:rPr>
              <w:t>motions</w:t>
            </w:r>
          </w:p>
        </w:tc>
        <w:tc>
          <w:tcPr>
            <w:tcW w:w="1005" w:type="dxa"/>
            <w:tcBorders>
              <w:top w:val="single" w:sz="8" w:space="0" w:color="auto"/>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b/>
                <w:i/>
                <w:snapToGrid w:val="0"/>
                <w:color w:val="000000"/>
                <w:szCs w:val="21"/>
                <w:lang w:val="en-US" w:eastAsia="en-US"/>
              </w:rPr>
            </w:pPr>
            <w:r w:rsidRPr="005B326F">
              <w:rPr>
                <w:rFonts w:eastAsia="SimSun"/>
                <w:b/>
                <w:i/>
                <w:snapToGrid w:val="0"/>
                <w:color w:val="000000"/>
                <w:szCs w:val="21"/>
                <w:lang w:val="en-US" w:eastAsia="en-US"/>
              </w:rPr>
              <w:t>FF</w:t>
            </w:r>
            <w:r w:rsidRPr="005B326F">
              <w:rPr>
                <w:rFonts w:eastAsia="SimSun" w:hint="eastAsia"/>
                <w:b/>
                <w:snapToGrid w:val="0"/>
                <w:color w:val="000000"/>
                <w:szCs w:val="21"/>
                <w:lang w:val="en-US" w:eastAsia="en-US"/>
              </w:rPr>
              <w:t>/</w:t>
            </w:r>
            <w:r w:rsidRPr="005B326F">
              <w:rPr>
                <w:rFonts w:eastAsia="SimSun"/>
                <w:b/>
                <w:snapToGrid w:val="0"/>
                <w:color w:val="000000"/>
                <w:szCs w:val="21"/>
                <w:lang w:val="en-US" w:eastAsia="en-US"/>
              </w:rPr>
              <w:t>kN</w:t>
            </w:r>
          </w:p>
        </w:tc>
        <w:tc>
          <w:tcPr>
            <w:tcW w:w="828" w:type="dxa"/>
            <w:tcBorders>
              <w:top w:val="single" w:sz="8" w:space="0" w:color="auto"/>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b/>
                <w:i/>
                <w:snapToGrid w:val="0"/>
                <w:color w:val="000000"/>
                <w:szCs w:val="21"/>
                <w:lang w:val="en-US" w:eastAsia="en-US"/>
              </w:rPr>
            </w:pPr>
            <w:r w:rsidRPr="005B326F">
              <w:rPr>
                <w:rFonts w:eastAsia="SimSun"/>
                <w:b/>
                <w:i/>
                <w:snapToGrid w:val="0"/>
                <w:color w:val="000000"/>
                <w:szCs w:val="21"/>
                <w:lang w:val="en-US" w:eastAsia="en-US"/>
              </w:rPr>
              <w:t>FS</w:t>
            </w:r>
            <w:r w:rsidRPr="005B326F">
              <w:rPr>
                <w:rFonts w:eastAsia="SimSun" w:hint="eastAsia"/>
                <w:b/>
                <w:snapToGrid w:val="0"/>
                <w:color w:val="000000"/>
                <w:szCs w:val="21"/>
                <w:lang w:val="en-US" w:eastAsia="en-US"/>
              </w:rPr>
              <w:t>/</w:t>
            </w:r>
            <w:r w:rsidRPr="005B326F">
              <w:rPr>
                <w:rFonts w:eastAsia="SimSun"/>
                <w:b/>
                <w:snapToGrid w:val="0"/>
                <w:color w:val="000000"/>
                <w:szCs w:val="21"/>
                <w:lang w:val="en-US" w:eastAsia="en-US"/>
              </w:rPr>
              <w:t>kN</w:t>
            </w:r>
          </w:p>
        </w:tc>
        <w:tc>
          <w:tcPr>
            <w:tcW w:w="1947" w:type="dxa"/>
            <w:tcBorders>
              <w:top w:val="single" w:sz="8" w:space="0" w:color="auto"/>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b/>
                <w:i/>
                <w:snapToGrid w:val="0"/>
                <w:color w:val="000000"/>
                <w:szCs w:val="21"/>
                <w:lang w:val="en-US" w:eastAsia="en-US"/>
              </w:rPr>
            </w:pPr>
            <w:r w:rsidRPr="005B326F">
              <w:rPr>
                <w:rFonts w:eastAsia="SimSun"/>
                <w:b/>
                <w:i/>
                <w:snapToGrid w:val="0"/>
                <w:color w:val="000000"/>
                <w:szCs w:val="21"/>
                <w:lang w:val="en-US" w:eastAsia="en-US"/>
              </w:rPr>
              <w:t xml:space="preserve">Mitigation ratio </w:t>
            </w:r>
          </w:p>
          <w:p w:rsidR="005B326F" w:rsidRPr="005B326F" w:rsidRDefault="005B326F" w:rsidP="005B326F">
            <w:pPr>
              <w:widowControl w:val="0"/>
              <w:spacing w:after="0" w:line="240" w:lineRule="auto"/>
              <w:jc w:val="center"/>
              <w:rPr>
                <w:rFonts w:eastAsia="SimSun"/>
                <w:b/>
                <w:i/>
                <w:snapToGrid w:val="0"/>
                <w:color w:val="000000"/>
                <w:szCs w:val="21"/>
                <w:lang w:val="en-US" w:eastAsia="en-US"/>
              </w:rPr>
            </w:pPr>
            <w:r w:rsidRPr="005B326F">
              <w:rPr>
                <w:rFonts w:eastAsia="SimSun"/>
                <w:b/>
                <w:i/>
                <w:snapToGrid w:val="0"/>
                <w:color w:val="000000"/>
                <w:szCs w:val="21"/>
                <w:lang w:val="en-US" w:eastAsia="en-US"/>
              </w:rPr>
              <w:t>R=(FS- FF)</w:t>
            </w:r>
            <w:r w:rsidRPr="005B326F">
              <w:rPr>
                <w:rFonts w:eastAsia="SimSun" w:hint="eastAsia"/>
                <w:b/>
                <w:i/>
                <w:snapToGrid w:val="0"/>
                <w:color w:val="000000"/>
                <w:szCs w:val="21"/>
                <w:lang w:val="en-US" w:eastAsia="en-US"/>
              </w:rPr>
              <w:t>/</w:t>
            </w:r>
            <w:r w:rsidRPr="005B326F">
              <w:rPr>
                <w:rFonts w:eastAsia="SimSun"/>
                <w:b/>
                <w:i/>
                <w:snapToGrid w:val="0"/>
                <w:color w:val="000000"/>
                <w:szCs w:val="21"/>
                <w:lang w:val="en-US" w:eastAsia="en-US"/>
              </w:rPr>
              <w:t>FF</w:t>
            </w:r>
          </w:p>
        </w:tc>
        <w:tc>
          <w:tcPr>
            <w:tcW w:w="1418" w:type="dxa"/>
            <w:tcBorders>
              <w:top w:val="single" w:sz="8" w:space="0" w:color="auto"/>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b/>
                <w:i/>
                <w:snapToGrid w:val="0"/>
                <w:color w:val="000000"/>
                <w:szCs w:val="21"/>
                <w:lang w:val="en-US" w:eastAsia="en-US"/>
              </w:rPr>
            </w:pPr>
            <w:r w:rsidRPr="005B326F">
              <w:rPr>
                <w:rFonts w:eastAsia="SimSun"/>
                <w:b/>
                <w:i/>
                <w:snapToGrid w:val="0"/>
                <w:color w:val="000000"/>
                <w:szCs w:val="21"/>
                <w:lang w:val="en-US" w:eastAsia="en-US"/>
              </w:rPr>
              <w:t>Average value of R</w:t>
            </w:r>
          </w:p>
        </w:tc>
      </w:tr>
      <w:tr w:rsidR="005B326F" w:rsidRPr="005B326F" w:rsidTr="00FF6B28">
        <w:trPr>
          <w:trHeight w:val="270"/>
          <w:jc w:val="center"/>
        </w:trPr>
        <w:tc>
          <w:tcPr>
            <w:tcW w:w="1512" w:type="dxa"/>
            <w:vMerge w:val="restart"/>
            <w:tcBorders>
              <w:top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 xml:space="preserve">Deck-bent1 </w:t>
            </w:r>
          </w:p>
        </w:tc>
        <w:tc>
          <w:tcPr>
            <w:tcW w:w="1855" w:type="dxa"/>
            <w:tcBorders>
              <w:top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Chichi</w:t>
            </w:r>
          </w:p>
        </w:tc>
        <w:tc>
          <w:tcPr>
            <w:tcW w:w="1005" w:type="dxa"/>
            <w:tcBorders>
              <w:top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1.88</w:t>
            </w:r>
          </w:p>
        </w:tc>
        <w:tc>
          <w:tcPr>
            <w:tcW w:w="828" w:type="dxa"/>
            <w:tcBorders>
              <w:top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0.68</w:t>
            </w:r>
          </w:p>
        </w:tc>
        <w:tc>
          <w:tcPr>
            <w:tcW w:w="1947" w:type="dxa"/>
            <w:tcBorders>
              <w:top w:val="single" w:sz="8" w:space="0" w:color="auto"/>
            </w:tcBorders>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Times New Roman"/>
                <w:snapToGrid w:val="0"/>
                <w:szCs w:val="24"/>
                <w:lang w:val="en-US" w:eastAsia="en-US"/>
              </w:rPr>
              <w:t>-64%</w:t>
            </w:r>
          </w:p>
        </w:tc>
        <w:tc>
          <w:tcPr>
            <w:tcW w:w="1418" w:type="dxa"/>
            <w:vMerge w:val="restart"/>
            <w:tcBorders>
              <w:top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-76%</w:t>
            </w:r>
          </w:p>
        </w:tc>
      </w:tr>
      <w:tr w:rsidR="005B326F" w:rsidRPr="005B326F" w:rsidTr="00FF6B28">
        <w:trPr>
          <w:trHeight w:val="270"/>
          <w:jc w:val="center"/>
        </w:trPr>
        <w:tc>
          <w:tcPr>
            <w:tcW w:w="1512" w:type="dxa"/>
            <w:vMerge/>
            <w:vAlign w:val="center"/>
            <w:hideMark/>
          </w:tcPr>
          <w:p w:rsidR="005B326F" w:rsidRPr="005B326F" w:rsidRDefault="005B326F" w:rsidP="005B326F">
            <w:pPr>
              <w:widowControl w:val="0"/>
              <w:spacing w:after="0" w:line="240" w:lineRule="auto"/>
              <w:jc w:val="both"/>
              <w:rPr>
                <w:rFonts w:eastAsia="SimSun"/>
                <w:snapToGrid w:val="0"/>
                <w:color w:val="000000"/>
                <w:szCs w:val="21"/>
                <w:lang w:val="en-US" w:eastAsia="en-US"/>
              </w:rPr>
            </w:pPr>
          </w:p>
        </w:tc>
        <w:tc>
          <w:tcPr>
            <w:tcW w:w="1855" w:type="dxa"/>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El Centro</w:t>
            </w:r>
          </w:p>
        </w:tc>
        <w:tc>
          <w:tcPr>
            <w:tcW w:w="1005" w:type="dxa"/>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2.59</w:t>
            </w:r>
          </w:p>
        </w:tc>
        <w:tc>
          <w:tcPr>
            <w:tcW w:w="828" w:type="dxa"/>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0.51</w:t>
            </w:r>
          </w:p>
        </w:tc>
        <w:tc>
          <w:tcPr>
            <w:tcW w:w="1947" w:type="dxa"/>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Times New Roman"/>
                <w:snapToGrid w:val="0"/>
                <w:szCs w:val="24"/>
                <w:lang w:val="en-US" w:eastAsia="en-US"/>
              </w:rPr>
              <w:t>-80%</w:t>
            </w:r>
          </w:p>
        </w:tc>
        <w:tc>
          <w:tcPr>
            <w:tcW w:w="1418" w:type="dxa"/>
            <w:vMerge/>
            <w:vAlign w:val="center"/>
            <w:hideMark/>
          </w:tcPr>
          <w:p w:rsidR="005B326F" w:rsidRPr="005B326F" w:rsidRDefault="005B326F" w:rsidP="005B326F">
            <w:pPr>
              <w:widowControl w:val="0"/>
              <w:spacing w:after="0" w:line="240" w:lineRule="auto"/>
              <w:jc w:val="both"/>
              <w:rPr>
                <w:rFonts w:eastAsia="SimSun"/>
                <w:snapToGrid w:val="0"/>
                <w:color w:val="000000"/>
                <w:szCs w:val="21"/>
                <w:lang w:val="en-US" w:eastAsia="en-US"/>
              </w:rPr>
            </w:pPr>
          </w:p>
        </w:tc>
      </w:tr>
      <w:tr w:rsidR="005B326F" w:rsidRPr="005B326F" w:rsidTr="00FF6B28">
        <w:trPr>
          <w:trHeight w:val="270"/>
          <w:jc w:val="center"/>
        </w:trPr>
        <w:tc>
          <w:tcPr>
            <w:tcW w:w="1512" w:type="dxa"/>
            <w:vMerge/>
            <w:tcBorders>
              <w:bottom w:val="single" w:sz="8" w:space="0" w:color="auto"/>
            </w:tcBorders>
            <w:vAlign w:val="center"/>
            <w:hideMark/>
          </w:tcPr>
          <w:p w:rsidR="005B326F" w:rsidRPr="005B326F" w:rsidRDefault="005B326F" w:rsidP="005B326F">
            <w:pPr>
              <w:widowControl w:val="0"/>
              <w:spacing w:after="0" w:line="240" w:lineRule="auto"/>
              <w:jc w:val="both"/>
              <w:rPr>
                <w:rFonts w:eastAsia="SimSun"/>
                <w:snapToGrid w:val="0"/>
                <w:color w:val="000000"/>
                <w:szCs w:val="21"/>
                <w:lang w:val="en-US" w:eastAsia="en-US"/>
              </w:rPr>
            </w:pPr>
          </w:p>
        </w:tc>
        <w:tc>
          <w:tcPr>
            <w:tcW w:w="1855" w:type="dxa"/>
            <w:tcBorders>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Site E10</w:t>
            </w:r>
          </w:p>
        </w:tc>
        <w:tc>
          <w:tcPr>
            <w:tcW w:w="1005" w:type="dxa"/>
            <w:tcBorders>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6.53</w:t>
            </w:r>
          </w:p>
        </w:tc>
        <w:tc>
          <w:tcPr>
            <w:tcW w:w="828" w:type="dxa"/>
            <w:tcBorders>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1.11</w:t>
            </w:r>
          </w:p>
        </w:tc>
        <w:tc>
          <w:tcPr>
            <w:tcW w:w="1947" w:type="dxa"/>
            <w:tcBorders>
              <w:bottom w:val="single" w:sz="8" w:space="0" w:color="auto"/>
            </w:tcBorders>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Times New Roman"/>
                <w:snapToGrid w:val="0"/>
                <w:szCs w:val="24"/>
                <w:lang w:val="en-US" w:eastAsia="en-US"/>
              </w:rPr>
              <w:t>-83%</w:t>
            </w:r>
          </w:p>
        </w:tc>
        <w:tc>
          <w:tcPr>
            <w:tcW w:w="1418" w:type="dxa"/>
            <w:vMerge/>
            <w:tcBorders>
              <w:bottom w:val="single" w:sz="8" w:space="0" w:color="auto"/>
            </w:tcBorders>
            <w:vAlign w:val="center"/>
            <w:hideMark/>
          </w:tcPr>
          <w:p w:rsidR="005B326F" w:rsidRPr="005B326F" w:rsidRDefault="005B326F" w:rsidP="005B326F">
            <w:pPr>
              <w:widowControl w:val="0"/>
              <w:spacing w:after="0" w:line="240" w:lineRule="auto"/>
              <w:jc w:val="both"/>
              <w:rPr>
                <w:rFonts w:eastAsia="SimSun"/>
                <w:snapToGrid w:val="0"/>
                <w:color w:val="000000"/>
                <w:szCs w:val="21"/>
                <w:lang w:val="en-US" w:eastAsia="en-US"/>
              </w:rPr>
            </w:pPr>
          </w:p>
        </w:tc>
      </w:tr>
      <w:tr w:rsidR="005B326F" w:rsidRPr="005B326F" w:rsidTr="00FF6B28">
        <w:trPr>
          <w:trHeight w:val="270"/>
          <w:jc w:val="center"/>
        </w:trPr>
        <w:tc>
          <w:tcPr>
            <w:tcW w:w="1512" w:type="dxa"/>
            <w:vMerge w:val="restart"/>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Deck-bent2</w:t>
            </w:r>
          </w:p>
        </w:tc>
        <w:tc>
          <w:tcPr>
            <w:tcW w:w="1855" w:type="dxa"/>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Chichi</w:t>
            </w:r>
          </w:p>
        </w:tc>
        <w:tc>
          <w:tcPr>
            <w:tcW w:w="1005" w:type="dxa"/>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1.95</w:t>
            </w:r>
          </w:p>
        </w:tc>
        <w:tc>
          <w:tcPr>
            <w:tcW w:w="828" w:type="dxa"/>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0.87</w:t>
            </w:r>
          </w:p>
        </w:tc>
        <w:tc>
          <w:tcPr>
            <w:tcW w:w="1947" w:type="dxa"/>
            <w:tcBorders>
              <w:top w:val="single" w:sz="8" w:space="0" w:color="auto"/>
              <w:bottom w:val="nil"/>
            </w:tcBorders>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Times New Roman"/>
                <w:snapToGrid w:val="0"/>
                <w:szCs w:val="24"/>
                <w:lang w:val="en-US" w:eastAsia="en-US"/>
              </w:rPr>
              <w:t>-55%</w:t>
            </w:r>
          </w:p>
        </w:tc>
        <w:tc>
          <w:tcPr>
            <w:tcW w:w="1418" w:type="dxa"/>
            <w:vMerge w:val="restart"/>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-77%</w:t>
            </w:r>
          </w:p>
        </w:tc>
      </w:tr>
      <w:tr w:rsidR="005B326F" w:rsidRPr="005B326F" w:rsidTr="00FF6B28">
        <w:trPr>
          <w:trHeight w:val="270"/>
          <w:jc w:val="center"/>
        </w:trPr>
        <w:tc>
          <w:tcPr>
            <w:tcW w:w="1512" w:type="dxa"/>
            <w:vMerge/>
            <w:vAlign w:val="center"/>
            <w:hideMark/>
          </w:tcPr>
          <w:p w:rsidR="005B326F" w:rsidRPr="005B326F" w:rsidRDefault="005B326F" w:rsidP="005B326F">
            <w:pPr>
              <w:widowControl w:val="0"/>
              <w:spacing w:after="0" w:line="240" w:lineRule="auto"/>
              <w:jc w:val="both"/>
              <w:rPr>
                <w:rFonts w:eastAsia="SimSun"/>
                <w:snapToGrid w:val="0"/>
                <w:color w:val="000000"/>
                <w:szCs w:val="21"/>
                <w:lang w:val="en-US" w:eastAsia="en-US"/>
              </w:rPr>
            </w:pPr>
          </w:p>
        </w:tc>
        <w:tc>
          <w:tcPr>
            <w:tcW w:w="1855" w:type="dxa"/>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El Centro</w:t>
            </w:r>
          </w:p>
        </w:tc>
        <w:tc>
          <w:tcPr>
            <w:tcW w:w="1005" w:type="dxa"/>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3.70</w:t>
            </w:r>
          </w:p>
        </w:tc>
        <w:tc>
          <w:tcPr>
            <w:tcW w:w="828" w:type="dxa"/>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0.58</w:t>
            </w:r>
          </w:p>
        </w:tc>
        <w:tc>
          <w:tcPr>
            <w:tcW w:w="1947" w:type="dxa"/>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Times New Roman"/>
                <w:snapToGrid w:val="0"/>
                <w:szCs w:val="24"/>
                <w:lang w:val="en-US" w:eastAsia="en-US"/>
              </w:rPr>
              <w:t>-84%</w:t>
            </w:r>
          </w:p>
        </w:tc>
        <w:tc>
          <w:tcPr>
            <w:tcW w:w="1418" w:type="dxa"/>
            <w:vMerge/>
            <w:vAlign w:val="center"/>
            <w:hideMark/>
          </w:tcPr>
          <w:p w:rsidR="005B326F" w:rsidRPr="005B326F" w:rsidRDefault="005B326F" w:rsidP="005B326F">
            <w:pPr>
              <w:widowControl w:val="0"/>
              <w:spacing w:after="0" w:line="240" w:lineRule="auto"/>
              <w:jc w:val="both"/>
              <w:rPr>
                <w:rFonts w:eastAsia="SimSun"/>
                <w:snapToGrid w:val="0"/>
                <w:color w:val="000000"/>
                <w:szCs w:val="21"/>
                <w:lang w:val="en-US" w:eastAsia="en-US"/>
              </w:rPr>
            </w:pPr>
          </w:p>
        </w:tc>
      </w:tr>
      <w:tr w:rsidR="005B326F" w:rsidRPr="005B326F" w:rsidTr="00FF6B28">
        <w:trPr>
          <w:trHeight w:val="270"/>
          <w:jc w:val="center"/>
        </w:trPr>
        <w:tc>
          <w:tcPr>
            <w:tcW w:w="1512" w:type="dxa"/>
            <w:vMerge/>
            <w:tcBorders>
              <w:bottom w:val="single" w:sz="8" w:space="0" w:color="auto"/>
            </w:tcBorders>
            <w:vAlign w:val="center"/>
            <w:hideMark/>
          </w:tcPr>
          <w:p w:rsidR="005B326F" w:rsidRPr="005B326F" w:rsidRDefault="005B326F" w:rsidP="005B326F">
            <w:pPr>
              <w:widowControl w:val="0"/>
              <w:spacing w:after="0" w:line="240" w:lineRule="auto"/>
              <w:jc w:val="both"/>
              <w:rPr>
                <w:rFonts w:eastAsia="SimSun"/>
                <w:snapToGrid w:val="0"/>
                <w:color w:val="000000"/>
                <w:szCs w:val="21"/>
                <w:lang w:val="en-US" w:eastAsia="en-US"/>
              </w:rPr>
            </w:pPr>
          </w:p>
        </w:tc>
        <w:tc>
          <w:tcPr>
            <w:tcW w:w="1855" w:type="dxa"/>
            <w:tcBorders>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Site E10</w:t>
            </w:r>
          </w:p>
        </w:tc>
        <w:tc>
          <w:tcPr>
            <w:tcW w:w="1005" w:type="dxa"/>
            <w:tcBorders>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11.95</w:t>
            </w:r>
          </w:p>
        </w:tc>
        <w:tc>
          <w:tcPr>
            <w:tcW w:w="828" w:type="dxa"/>
            <w:tcBorders>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0.95</w:t>
            </w:r>
          </w:p>
        </w:tc>
        <w:tc>
          <w:tcPr>
            <w:tcW w:w="1947" w:type="dxa"/>
            <w:tcBorders>
              <w:bottom w:val="single" w:sz="8" w:space="0" w:color="auto"/>
            </w:tcBorders>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Times New Roman"/>
                <w:snapToGrid w:val="0"/>
                <w:szCs w:val="24"/>
                <w:lang w:val="en-US" w:eastAsia="en-US"/>
              </w:rPr>
              <w:t>-92%</w:t>
            </w:r>
          </w:p>
        </w:tc>
        <w:tc>
          <w:tcPr>
            <w:tcW w:w="1418" w:type="dxa"/>
            <w:vMerge/>
            <w:tcBorders>
              <w:bottom w:val="single" w:sz="8" w:space="0" w:color="auto"/>
            </w:tcBorders>
            <w:vAlign w:val="center"/>
            <w:hideMark/>
          </w:tcPr>
          <w:p w:rsidR="005B326F" w:rsidRPr="005B326F" w:rsidRDefault="005B326F" w:rsidP="005B326F">
            <w:pPr>
              <w:widowControl w:val="0"/>
              <w:spacing w:after="0" w:line="240" w:lineRule="auto"/>
              <w:jc w:val="both"/>
              <w:rPr>
                <w:rFonts w:eastAsia="SimSun"/>
                <w:snapToGrid w:val="0"/>
                <w:color w:val="000000"/>
                <w:szCs w:val="21"/>
                <w:lang w:val="en-US" w:eastAsia="en-US"/>
              </w:rPr>
            </w:pPr>
          </w:p>
        </w:tc>
      </w:tr>
      <w:tr w:rsidR="005B326F" w:rsidRPr="005B326F" w:rsidTr="00FF6B28">
        <w:trPr>
          <w:trHeight w:val="270"/>
          <w:jc w:val="center"/>
        </w:trPr>
        <w:tc>
          <w:tcPr>
            <w:tcW w:w="1512" w:type="dxa"/>
            <w:vMerge w:val="restart"/>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Deck-tower1</w:t>
            </w:r>
          </w:p>
        </w:tc>
        <w:tc>
          <w:tcPr>
            <w:tcW w:w="1855" w:type="dxa"/>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Chichi</w:t>
            </w:r>
          </w:p>
        </w:tc>
        <w:tc>
          <w:tcPr>
            <w:tcW w:w="1005" w:type="dxa"/>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6.18</w:t>
            </w:r>
          </w:p>
        </w:tc>
        <w:tc>
          <w:tcPr>
            <w:tcW w:w="828" w:type="dxa"/>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1.53</w:t>
            </w:r>
          </w:p>
        </w:tc>
        <w:tc>
          <w:tcPr>
            <w:tcW w:w="1947" w:type="dxa"/>
            <w:tcBorders>
              <w:top w:val="single" w:sz="8" w:space="0" w:color="auto"/>
              <w:bottom w:val="nil"/>
            </w:tcBorders>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Times New Roman"/>
                <w:snapToGrid w:val="0"/>
                <w:szCs w:val="24"/>
                <w:lang w:val="en-US" w:eastAsia="en-US"/>
              </w:rPr>
              <w:t>-75%</w:t>
            </w:r>
          </w:p>
        </w:tc>
        <w:tc>
          <w:tcPr>
            <w:tcW w:w="1418" w:type="dxa"/>
            <w:vMerge w:val="restart"/>
            <w:tcBorders>
              <w:top w:val="single" w:sz="8" w:space="0" w:color="auto"/>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1"/>
                <w:lang w:val="en-US" w:eastAsia="en-US"/>
              </w:rPr>
            </w:pPr>
            <w:r w:rsidRPr="005B326F">
              <w:rPr>
                <w:rFonts w:eastAsia="SimSun"/>
                <w:snapToGrid w:val="0"/>
                <w:color w:val="000000"/>
                <w:szCs w:val="21"/>
                <w:lang w:val="en-US" w:eastAsia="en-US"/>
              </w:rPr>
              <w:t xml:space="preserve">-84% </w:t>
            </w:r>
          </w:p>
        </w:tc>
      </w:tr>
      <w:tr w:rsidR="005B326F" w:rsidRPr="005B326F" w:rsidTr="00FF6B28">
        <w:trPr>
          <w:trHeight w:val="270"/>
          <w:jc w:val="center"/>
        </w:trPr>
        <w:tc>
          <w:tcPr>
            <w:tcW w:w="1512" w:type="dxa"/>
            <w:vMerge/>
            <w:tcBorders>
              <w:top w:val="nil"/>
              <w:bottom w:val="nil"/>
            </w:tcBorders>
            <w:vAlign w:val="center"/>
            <w:hideMark/>
          </w:tcPr>
          <w:p w:rsidR="005B326F" w:rsidRPr="005B326F" w:rsidRDefault="005B326F" w:rsidP="005B326F">
            <w:pPr>
              <w:widowControl w:val="0"/>
              <w:spacing w:after="0" w:line="240" w:lineRule="auto"/>
              <w:jc w:val="both"/>
              <w:rPr>
                <w:rFonts w:ascii="SimSun" w:eastAsia="SimSun" w:hAnsi="SimSun" w:cs="SimSun"/>
                <w:snapToGrid w:val="0"/>
                <w:color w:val="000000"/>
                <w:szCs w:val="24"/>
                <w:lang w:val="en-US" w:eastAsia="en-US"/>
              </w:rPr>
            </w:pPr>
          </w:p>
        </w:tc>
        <w:tc>
          <w:tcPr>
            <w:tcW w:w="1855" w:type="dxa"/>
            <w:tcBorders>
              <w:top w:val="nil"/>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4"/>
                <w:lang w:val="en-US" w:eastAsia="en-US"/>
              </w:rPr>
            </w:pPr>
            <w:r w:rsidRPr="005B326F">
              <w:rPr>
                <w:rFonts w:eastAsia="SimSun"/>
                <w:snapToGrid w:val="0"/>
                <w:color w:val="000000"/>
                <w:szCs w:val="24"/>
                <w:lang w:val="en-US" w:eastAsia="en-US"/>
              </w:rPr>
              <w:t>El Centro</w:t>
            </w:r>
          </w:p>
        </w:tc>
        <w:tc>
          <w:tcPr>
            <w:tcW w:w="1005" w:type="dxa"/>
            <w:tcBorders>
              <w:top w:val="nil"/>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4"/>
                <w:lang w:val="en-US" w:eastAsia="en-US"/>
              </w:rPr>
            </w:pPr>
            <w:r w:rsidRPr="005B326F">
              <w:rPr>
                <w:rFonts w:eastAsia="SimSun"/>
                <w:snapToGrid w:val="0"/>
                <w:color w:val="000000"/>
                <w:szCs w:val="24"/>
                <w:lang w:val="en-US" w:eastAsia="en-US"/>
              </w:rPr>
              <w:t>8.09</w:t>
            </w:r>
          </w:p>
        </w:tc>
        <w:tc>
          <w:tcPr>
            <w:tcW w:w="828" w:type="dxa"/>
            <w:tcBorders>
              <w:top w:val="nil"/>
              <w:bottom w:val="nil"/>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4"/>
                <w:lang w:val="en-US" w:eastAsia="en-US"/>
              </w:rPr>
            </w:pPr>
            <w:r w:rsidRPr="005B326F">
              <w:rPr>
                <w:rFonts w:eastAsia="SimSun"/>
                <w:snapToGrid w:val="0"/>
                <w:color w:val="000000"/>
                <w:szCs w:val="24"/>
                <w:lang w:val="en-US" w:eastAsia="en-US"/>
              </w:rPr>
              <w:t>1.17</w:t>
            </w:r>
          </w:p>
        </w:tc>
        <w:tc>
          <w:tcPr>
            <w:tcW w:w="1947" w:type="dxa"/>
            <w:tcBorders>
              <w:top w:val="nil"/>
              <w:bottom w:val="nil"/>
            </w:tcBorders>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4"/>
                <w:lang w:val="en-US" w:eastAsia="en-US"/>
              </w:rPr>
            </w:pPr>
            <w:r w:rsidRPr="005B326F">
              <w:rPr>
                <w:rFonts w:eastAsia="Times New Roman"/>
                <w:snapToGrid w:val="0"/>
                <w:szCs w:val="24"/>
                <w:lang w:val="en-US" w:eastAsia="en-US"/>
              </w:rPr>
              <w:t>-86%</w:t>
            </w:r>
          </w:p>
        </w:tc>
        <w:tc>
          <w:tcPr>
            <w:tcW w:w="1418" w:type="dxa"/>
            <w:vMerge/>
            <w:tcBorders>
              <w:top w:val="nil"/>
              <w:bottom w:val="nil"/>
            </w:tcBorders>
            <w:vAlign w:val="center"/>
            <w:hideMark/>
          </w:tcPr>
          <w:p w:rsidR="005B326F" w:rsidRPr="005B326F" w:rsidRDefault="005B326F" w:rsidP="005B326F">
            <w:pPr>
              <w:widowControl w:val="0"/>
              <w:spacing w:after="0" w:line="240" w:lineRule="auto"/>
              <w:jc w:val="both"/>
              <w:rPr>
                <w:rFonts w:ascii="SimSun" w:eastAsia="SimSun" w:hAnsi="SimSun" w:cs="SimSun"/>
                <w:snapToGrid w:val="0"/>
                <w:color w:val="000000"/>
                <w:szCs w:val="24"/>
                <w:lang w:val="en-US" w:eastAsia="en-US"/>
              </w:rPr>
            </w:pPr>
          </w:p>
        </w:tc>
      </w:tr>
      <w:tr w:rsidR="005B326F" w:rsidRPr="005B326F" w:rsidTr="00FF6B28">
        <w:trPr>
          <w:trHeight w:val="285"/>
          <w:jc w:val="center"/>
        </w:trPr>
        <w:tc>
          <w:tcPr>
            <w:tcW w:w="1512" w:type="dxa"/>
            <w:vMerge/>
            <w:tcBorders>
              <w:top w:val="nil"/>
              <w:bottom w:val="single" w:sz="8" w:space="0" w:color="auto"/>
            </w:tcBorders>
            <w:vAlign w:val="center"/>
            <w:hideMark/>
          </w:tcPr>
          <w:p w:rsidR="005B326F" w:rsidRPr="005B326F" w:rsidRDefault="005B326F" w:rsidP="005B326F">
            <w:pPr>
              <w:widowControl w:val="0"/>
              <w:spacing w:after="0" w:line="240" w:lineRule="auto"/>
              <w:jc w:val="both"/>
              <w:rPr>
                <w:rFonts w:ascii="SimSun" w:eastAsia="SimSun" w:hAnsi="SimSun" w:cs="SimSun"/>
                <w:snapToGrid w:val="0"/>
                <w:color w:val="000000"/>
                <w:szCs w:val="24"/>
                <w:lang w:val="en-US" w:eastAsia="en-US"/>
              </w:rPr>
            </w:pPr>
          </w:p>
        </w:tc>
        <w:tc>
          <w:tcPr>
            <w:tcW w:w="1855" w:type="dxa"/>
            <w:tcBorders>
              <w:top w:val="nil"/>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4"/>
                <w:lang w:val="en-US" w:eastAsia="en-US"/>
              </w:rPr>
            </w:pPr>
            <w:r w:rsidRPr="005B326F">
              <w:rPr>
                <w:rFonts w:eastAsia="SimSun"/>
                <w:snapToGrid w:val="0"/>
                <w:color w:val="000000"/>
                <w:szCs w:val="24"/>
                <w:lang w:val="en-US" w:eastAsia="en-US"/>
              </w:rPr>
              <w:t>Site E10</w:t>
            </w:r>
          </w:p>
        </w:tc>
        <w:tc>
          <w:tcPr>
            <w:tcW w:w="1005" w:type="dxa"/>
            <w:tcBorders>
              <w:top w:val="nil"/>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4"/>
                <w:lang w:val="en-US" w:eastAsia="en-US"/>
              </w:rPr>
            </w:pPr>
            <w:r w:rsidRPr="005B326F">
              <w:rPr>
                <w:rFonts w:eastAsia="SimSun"/>
                <w:snapToGrid w:val="0"/>
                <w:color w:val="000000"/>
                <w:szCs w:val="24"/>
                <w:lang w:val="en-US" w:eastAsia="en-US"/>
              </w:rPr>
              <w:t>23.11</w:t>
            </w:r>
          </w:p>
        </w:tc>
        <w:tc>
          <w:tcPr>
            <w:tcW w:w="828" w:type="dxa"/>
            <w:tcBorders>
              <w:top w:val="nil"/>
              <w:bottom w:val="single" w:sz="8" w:space="0" w:color="auto"/>
            </w:tcBorders>
            <w:shd w:val="clear" w:color="auto" w:fill="auto"/>
            <w:noWrap/>
            <w:vAlign w:val="center"/>
            <w:hideMark/>
          </w:tcPr>
          <w:p w:rsidR="005B326F" w:rsidRPr="005B326F" w:rsidRDefault="005B326F" w:rsidP="005B326F">
            <w:pPr>
              <w:widowControl w:val="0"/>
              <w:spacing w:after="0" w:line="240" w:lineRule="auto"/>
              <w:jc w:val="center"/>
              <w:rPr>
                <w:rFonts w:eastAsia="SimSun"/>
                <w:snapToGrid w:val="0"/>
                <w:color w:val="000000"/>
                <w:szCs w:val="24"/>
                <w:lang w:val="en-US" w:eastAsia="en-US"/>
              </w:rPr>
            </w:pPr>
            <w:r w:rsidRPr="005B326F">
              <w:rPr>
                <w:rFonts w:eastAsia="SimSun"/>
                <w:snapToGrid w:val="0"/>
                <w:color w:val="000000"/>
                <w:szCs w:val="24"/>
                <w:lang w:val="en-US" w:eastAsia="en-US"/>
              </w:rPr>
              <w:t>1.98</w:t>
            </w:r>
          </w:p>
        </w:tc>
        <w:tc>
          <w:tcPr>
            <w:tcW w:w="1947" w:type="dxa"/>
            <w:tcBorders>
              <w:top w:val="nil"/>
              <w:bottom w:val="single" w:sz="8" w:space="0" w:color="auto"/>
            </w:tcBorders>
            <w:shd w:val="clear" w:color="auto" w:fill="auto"/>
            <w:noWrap/>
            <w:hideMark/>
          </w:tcPr>
          <w:p w:rsidR="005B326F" w:rsidRPr="005B326F" w:rsidRDefault="005B326F" w:rsidP="005B326F">
            <w:pPr>
              <w:widowControl w:val="0"/>
              <w:spacing w:after="0" w:line="240" w:lineRule="auto"/>
              <w:jc w:val="center"/>
              <w:rPr>
                <w:rFonts w:eastAsia="SimSun"/>
                <w:snapToGrid w:val="0"/>
                <w:color w:val="000000"/>
                <w:szCs w:val="24"/>
                <w:lang w:val="en-US" w:eastAsia="en-US"/>
              </w:rPr>
            </w:pPr>
            <w:r w:rsidRPr="005B326F">
              <w:rPr>
                <w:rFonts w:eastAsia="Times New Roman"/>
                <w:snapToGrid w:val="0"/>
                <w:szCs w:val="24"/>
                <w:lang w:val="en-US" w:eastAsia="en-US"/>
              </w:rPr>
              <w:t>-91%</w:t>
            </w:r>
          </w:p>
        </w:tc>
        <w:tc>
          <w:tcPr>
            <w:tcW w:w="1418" w:type="dxa"/>
            <w:vMerge/>
            <w:tcBorders>
              <w:top w:val="nil"/>
              <w:bottom w:val="single" w:sz="8" w:space="0" w:color="auto"/>
            </w:tcBorders>
            <w:vAlign w:val="center"/>
            <w:hideMark/>
          </w:tcPr>
          <w:p w:rsidR="005B326F" w:rsidRPr="005B326F" w:rsidRDefault="005B326F" w:rsidP="005B326F">
            <w:pPr>
              <w:widowControl w:val="0"/>
              <w:spacing w:after="0" w:line="240" w:lineRule="auto"/>
              <w:jc w:val="both"/>
              <w:rPr>
                <w:rFonts w:ascii="SimSun" w:eastAsia="SimSun" w:hAnsi="SimSun" w:cs="SimSun"/>
                <w:snapToGrid w:val="0"/>
                <w:color w:val="000000"/>
                <w:szCs w:val="24"/>
                <w:lang w:val="en-US" w:eastAsia="en-US"/>
              </w:rPr>
            </w:pPr>
          </w:p>
        </w:tc>
      </w:tr>
    </w:tbl>
    <w:p w:rsidR="005B326F" w:rsidRPr="005B326F" w:rsidRDefault="005B326F" w:rsidP="005B326F">
      <w:pPr>
        <w:widowControl w:val="0"/>
        <w:spacing w:after="0" w:line="240" w:lineRule="auto"/>
        <w:jc w:val="center"/>
        <w:rPr>
          <w:rFonts w:eastAsia="SimSun"/>
          <w:snapToGrid w:val="0"/>
          <w:szCs w:val="24"/>
          <w:lang w:val="en-US" w:eastAsia="en-US"/>
        </w:rPr>
      </w:pPr>
      <w:r w:rsidRPr="005B326F">
        <w:rPr>
          <w:rFonts w:eastAsia="SimSun" w:hint="eastAsia"/>
          <w:b/>
          <w:snapToGrid w:val="0"/>
          <w:szCs w:val="24"/>
          <w:lang w:val="en-US" w:eastAsia="en-US"/>
        </w:rPr>
        <w:t>Note:</w:t>
      </w:r>
      <w:r w:rsidRPr="005B326F">
        <w:rPr>
          <w:rFonts w:eastAsia="SimSun" w:hint="eastAsia"/>
          <w:snapToGrid w:val="0"/>
          <w:szCs w:val="24"/>
          <w:lang w:val="en-US" w:eastAsia="en-US"/>
        </w:rPr>
        <w:t xml:space="preserve"> </w:t>
      </w:r>
      <w:r w:rsidRPr="005B326F">
        <w:rPr>
          <w:rFonts w:eastAsia="SimSun"/>
          <w:i/>
          <w:snapToGrid w:val="0"/>
          <w:szCs w:val="24"/>
          <w:lang w:val="en-US" w:eastAsia="en-US"/>
        </w:rPr>
        <w:t>FF</w:t>
      </w:r>
      <w:r w:rsidRPr="005B326F">
        <w:rPr>
          <w:rFonts w:eastAsia="SimSun"/>
          <w:snapToGrid w:val="0"/>
          <w:szCs w:val="24"/>
          <w:lang w:val="en-US" w:eastAsia="en-US"/>
        </w:rPr>
        <w:t xml:space="preserve"> = peak transverse force for TFS; </w:t>
      </w:r>
      <w:r w:rsidRPr="005B326F">
        <w:rPr>
          <w:rFonts w:eastAsia="SimSun"/>
          <w:i/>
          <w:snapToGrid w:val="0"/>
          <w:szCs w:val="24"/>
          <w:lang w:val="en-US" w:eastAsia="en-US"/>
        </w:rPr>
        <w:t>FS</w:t>
      </w:r>
      <w:r w:rsidRPr="005B326F">
        <w:rPr>
          <w:rFonts w:eastAsia="SimSun"/>
          <w:snapToGrid w:val="0"/>
          <w:szCs w:val="24"/>
          <w:lang w:val="en-US" w:eastAsia="en-US"/>
        </w:rPr>
        <w:t xml:space="preserve"> = peak transverse force for TSDSS.</w:t>
      </w:r>
    </w:p>
    <w:p w:rsidR="005B326F" w:rsidRPr="005B326F" w:rsidRDefault="005B326F" w:rsidP="005B326F">
      <w:pPr>
        <w:widowControl w:val="0"/>
        <w:spacing w:after="0" w:line="240" w:lineRule="auto"/>
        <w:jc w:val="both"/>
        <w:rPr>
          <w:rFonts w:eastAsia="SimSun"/>
          <w:snapToGrid w:val="0"/>
          <w:szCs w:val="24"/>
          <w:lang w:val="en-US" w:eastAsia="en-US"/>
        </w:rPr>
      </w:pPr>
    </w:p>
    <w:p w:rsidR="005B326F" w:rsidRPr="005B326F" w:rsidRDefault="005B326F" w:rsidP="005B326F">
      <w:pPr>
        <w:widowControl w:val="0"/>
        <w:spacing w:after="0" w:line="240" w:lineRule="auto"/>
        <w:jc w:val="both"/>
        <w:rPr>
          <w:rFonts w:eastAsia="SimSun"/>
          <w:snapToGrid w:val="0"/>
          <w:color w:val="000000"/>
          <w:szCs w:val="21"/>
          <w:lang w:val="en-US" w:eastAsia="en-US"/>
        </w:rPr>
      </w:pPr>
      <w:r w:rsidRPr="005B326F">
        <w:rPr>
          <w:rFonts w:eastAsia="SimSun"/>
          <w:snapToGrid w:val="0"/>
          <w:szCs w:val="21"/>
          <w:lang w:val="en-US" w:eastAsia="en-US"/>
        </w:rPr>
        <w:t>F</w:t>
      </w:r>
      <w:r w:rsidRPr="005B326F">
        <w:rPr>
          <w:rFonts w:eastAsia="SimSun" w:hint="eastAsia"/>
          <w:snapToGrid w:val="0"/>
          <w:szCs w:val="21"/>
          <w:lang w:val="en-US" w:eastAsia="en-US"/>
        </w:rPr>
        <w:t>igure</w:t>
      </w:r>
      <w:r w:rsidRPr="005B326F">
        <w:rPr>
          <w:rFonts w:eastAsia="SimSun"/>
          <w:snapToGrid w:val="0"/>
          <w:szCs w:val="21"/>
          <w:lang w:val="en-US" w:eastAsia="en-US"/>
        </w:rPr>
        <w:t xml:space="preserve"> 11</w:t>
      </w:r>
      <w:r w:rsidRPr="005B326F">
        <w:rPr>
          <w:rFonts w:eastAsia="SimSun"/>
          <w:snapToGrid w:val="0"/>
          <w:color w:val="000000"/>
          <w:szCs w:val="21"/>
          <w:lang w:val="en-US" w:eastAsia="en-US"/>
        </w:rPr>
        <w:t xml:space="preserve"> present</w:t>
      </w:r>
      <w:r w:rsidRPr="005B326F">
        <w:rPr>
          <w:rFonts w:eastAsia="SimSun" w:hint="eastAsia"/>
          <w:snapToGrid w:val="0"/>
          <w:color w:val="000000"/>
          <w:szCs w:val="21"/>
          <w:lang w:val="en-US" w:eastAsia="en-US"/>
        </w:rPr>
        <w:t xml:space="preserve">s </w:t>
      </w:r>
      <w:r w:rsidRPr="005B326F">
        <w:rPr>
          <w:rFonts w:eastAsia="SimSun"/>
          <w:snapToGrid w:val="0"/>
          <w:color w:val="000000"/>
          <w:szCs w:val="21"/>
          <w:lang w:val="en-US" w:eastAsia="en-US"/>
        </w:rPr>
        <w:t xml:space="preserve">the </w:t>
      </w:r>
      <w:r w:rsidRPr="005B326F">
        <w:rPr>
          <w:rFonts w:eastAsia="SimSun" w:hint="eastAsia"/>
          <w:snapToGrid w:val="0"/>
          <w:color w:val="000000"/>
          <w:szCs w:val="21"/>
          <w:lang w:val="en-US" w:eastAsia="en-US"/>
        </w:rPr>
        <w:t xml:space="preserve">comparisons of </w:t>
      </w:r>
      <w:r w:rsidRPr="005B326F">
        <w:rPr>
          <w:rFonts w:eastAsia="SimSun" w:hint="eastAsia"/>
          <w:snapToGrid w:val="0"/>
          <w:szCs w:val="24"/>
          <w:lang w:val="en-GB" w:eastAsia="en-US"/>
        </w:rPr>
        <w:t>curvature</w:t>
      </w:r>
      <w:r w:rsidRPr="005B326F">
        <w:rPr>
          <w:rFonts w:eastAsia="SimSun"/>
          <w:snapToGrid w:val="0"/>
          <w:szCs w:val="24"/>
          <w:lang w:val="en-GB" w:eastAsia="en-US"/>
        </w:rPr>
        <w:t xml:space="preserve"> demands</w:t>
      </w:r>
      <w:r w:rsidRPr="005B326F">
        <w:rPr>
          <w:rFonts w:eastAsia="SimSun" w:hint="eastAsia"/>
          <w:snapToGrid w:val="0"/>
          <w:szCs w:val="24"/>
          <w:lang w:val="en-GB" w:eastAsia="en-US"/>
        </w:rPr>
        <w:t xml:space="preserve"> </w:t>
      </w:r>
      <w:r w:rsidRPr="005B326F">
        <w:rPr>
          <w:rFonts w:eastAsia="SimSun"/>
          <w:snapToGrid w:val="0"/>
          <w:szCs w:val="24"/>
          <w:lang w:val="en-GB" w:eastAsia="en-US"/>
        </w:rPr>
        <w:t>at</w:t>
      </w:r>
      <w:r w:rsidRPr="005B326F">
        <w:rPr>
          <w:rFonts w:eastAsia="SimSun" w:hint="eastAsia"/>
          <w:snapToGrid w:val="0"/>
          <w:szCs w:val="24"/>
          <w:lang w:val="en-GB" w:eastAsia="en-US"/>
        </w:rPr>
        <w:t xml:space="preserve"> bottom</w:t>
      </w:r>
      <w:r w:rsidRPr="005B326F">
        <w:rPr>
          <w:rFonts w:eastAsia="SimSun"/>
          <w:snapToGrid w:val="0"/>
          <w:szCs w:val="24"/>
          <w:lang w:val="en-GB" w:eastAsia="en-US"/>
        </w:rPr>
        <w:t xml:space="preserve"> section</w:t>
      </w:r>
      <w:r w:rsidRPr="005B326F">
        <w:rPr>
          <w:rFonts w:eastAsia="SimSun" w:hint="eastAsia"/>
          <w:snapToGrid w:val="0"/>
          <w:szCs w:val="24"/>
          <w:lang w:val="en-GB" w:eastAsia="zh-CN"/>
        </w:rPr>
        <w:t>s</w:t>
      </w:r>
      <w:r w:rsidRPr="005B326F">
        <w:rPr>
          <w:rFonts w:eastAsia="SimSun"/>
          <w:snapToGrid w:val="0"/>
          <w:szCs w:val="24"/>
          <w:lang w:val="en-GB" w:eastAsia="en-US"/>
        </w:rPr>
        <w:t xml:space="preserve"> of B</w:t>
      </w:r>
      <w:r w:rsidRPr="005B326F">
        <w:rPr>
          <w:rFonts w:eastAsia="SimSun" w:hint="eastAsia"/>
          <w:snapToGrid w:val="0"/>
          <w:szCs w:val="24"/>
          <w:lang w:val="en-GB" w:eastAsia="en-US"/>
        </w:rPr>
        <w:t>ent</w:t>
      </w:r>
      <w:r w:rsidRPr="005B326F">
        <w:rPr>
          <w:rFonts w:eastAsia="SimSun"/>
          <w:snapToGrid w:val="0"/>
          <w:szCs w:val="24"/>
          <w:lang w:val="en-GB" w:eastAsia="en-US"/>
        </w:rPr>
        <w:t xml:space="preserve"> 1,</w:t>
      </w:r>
      <w:r w:rsidRPr="005B326F">
        <w:rPr>
          <w:rFonts w:eastAsia="SimSun" w:hint="eastAsia"/>
          <w:snapToGrid w:val="0"/>
          <w:szCs w:val="24"/>
          <w:lang w:val="en-GB" w:eastAsia="en-US"/>
        </w:rPr>
        <w:t xml:space="preserve"> </w:t>
      </w:r>
      <w:r w:rsidRPr="005B326F">
        <w:rPr>
          <w:rFonts w:eastAsia="SimSun"/>
          <w:snapToGrid w:val="0"/>
          <w:szCs w:val="24"/>
          <w:lang w:val="en-GB" w:eastAsia="en-US"/>
        </w:rPr>
        <w:t>B</w:t>
      </w:r>
      <w:r w:rsidRPr="005B326F">
        <w:rPr>
          <w:rFonts w:eastAsia="SimSun" w:hint="eastAsia"/>
          <w:snapToGrid w:val="0"/>
          <w:szCs w:val="24"/>
          <w:lang w:val="en-GB" w:eastAsia="en-US"/>
        </w:rPr>
        <w:t>ent</w:t>
      </w:r>
      <w:r w:rsidRPr="005B326F">
        <w:rPr>
          <w:rFonts w:eastAsia="SimSun"/>
          <w:snapToGrid w:val="0"/>
          <w:szCs w:val="24"/>
          <w:lang w:val="en-GB" w:eastAsia="en-US"/>
        </w:rPr>
        <w:t xml:space="preserve"> 2</w:t>
      </w:r>
      <w:r w:rsidRPr="005B326F">
        <w:rPr>
          <w:rFonts w:eastAsia="SimSun" w:hint="eastAsia"/>
          <w:snapToGrid w:val="0"/>
          <w:szCs w:val="24"/>
          <w:lang w:val="en-GB" w:eastAsia="en-US"/>
        </w:rPr>
        <w:t xml:space="preserve"> and </w:t>
      </w:r>
      <w:r w:rsidRPr="005B326F">
        <w:rPr>
          <w:rFonts w:eastAsia="SimSun"/>
          <w:snapToGrid w:val="0"/>
          <w:szCs w:val="24"/>
          <w:lang w:val="en-GB" w:eastAsia="en-US"/>
        </w:rPr>
        <w:t>T</w:t>
      </w:r>
      <w:r w:rsidRPr="005B326F">
        <w:rPr>
          <w:rFonts w:eastAsia="SimSun" w:hint="eastAsia"/>
          <w:snapToGrid w:val="0"/>
          <w:szCs w:val="24"/>
          <w:lang w:val="en-GB" w:eastAsia="en-US"/>
        </w:rPr>
        <w:t>ower1</w:t>
      </w:r>
      <w:r w:rsidRPr="005B326F">
        <w:rPr>
          <w:rFonts w:eastAsia="SimSun" w:hint="eastAsia"/>
          <w:snapToGrid w:val="0"/>
          <w:color w:val="000000"/>
          <w:szCs w:val="21"/>
          <w:lang w:val="en-US" w:eastAsia="en-US"/>
        </w:rPr>
        <w:t xml:space="preserve"> between the TSDSS and TFS under E10. </w:t>
      </w:r>
      <w:r w:rsidRPr="005B326F">
        <w:rPr>
          <w:rFonts w:eastAsia="SimSun"/>
          <w:snapToGrid w:val="0"/>
          <w:color w:val="000000"/>
          <w:szCs w:val="21"/>
          <w:lang w:val="en-US" w:eastAsia="en-US"/>
        </w:rPr>
        <w:t>C</w:t>
      </w:r>
      <w:r w:rsidRPr="005B326F">
        <w:rPr>
          <w:rFonts w:eastAsia="SimSun" w:hint="eastAsia"/>
          <w:snapToGrid w:val="0"/>
          <w:color w:val="000000"/>
          <w:szCs w:val="21"/>
          <w:lang w:val="en-US" w:eastAsia="en-US"/>
        </w:rPr>
        <w:t xml:space="preserve">ompared </w:t>
      </w:r>
      <w:r w:rsidRPr="005B326F">
        <w:rPr>
          <w:rFonts w:eastAsia="SimSun"/>
          <w:snapToGrid w:val="0"/>
          <w:color w:val="000000"/>
          <w:szCs w:val="21"/>
          <w:lang w:val="en-US" w:eastAsia="en-US"/>
        </w:rPr>
        <w:t>with</w:t>
      </w:r>
      <w:r w:rsidRPr="005B326F">
        <w:rPr>
          <w:rFonts w:eastAsia="SimSun" w:hint="eastAsia"/>
          <w:snapToGrid w:val="0"/>
          <w:color w:val="000000"/>
          <w:szCs w:val="21"/>
          <w:lang w:val="en-US" w:eastAsia="en-US"/>
        </w:rPr>
        <w:t xml:space="preserve"> the TFS</w:t>
      </w:r>
      <w:r w:rsidRPr="005B326F">
        <w:rPr>
          <w:rFonts w:eastAsia="SimSun"/>
          <w:snapToGrid w:val="0"/>
          <w:color w:val="000000"/>
          <w:szCs w:val="21"/>
          <w:lang w:val="en-US" w:eastAsia="en-US"/>
        </w:rPr>
        <w:t>,</w:t>
      </w:r>
      <w:r w:rsidRPr="005B326F" w:rsidDel="005F73AB">
        <w:rPr>
          <w:rFonts w:eastAsia="SimSun" w:hint="eastAsia"/>
          <w:snapToGrid w:val="0"/>
          <w:color w:val="000000"/>
          <w:szCs w:val="21"/>
          <w:lang w:val="en-US" w:eastAsia="en-US"/>
        </w:rPr>
        <w:t xml:space="preserve"> </w:t>
      </w:r>
      <w:r w:rsidRPr="005B326F">
        <w:rPr>
          <w:rFonts w:eastAsia="SimSun"/>
          <w:snapToGrid w:val="0"/>
          <w:color w:val="000000"/>
          <w:szCs w:val="21"/>
          <w:lang w:val="en-US" w:eastAsia="en-US"/>
        </w:rPr>
        <w:t>s</w:t>
      </w:r>
      <w:r w:rsidRPr="005B326F">
        <w:rPr>
          <w:rFonts w:eastAsia="SimSun" w:hint="eastAsia"/>
          <w:snapToGrid w:val="0"/>
          <w:color w:val="000000"/>
          <w:szCs w:val="21"/>
          <w:lang w:val="en-US" w:eastAsia="en-US"/>
        </w:rPr>
        <w:t>ignificant</w:t>
      </w:r>
      <w:r w:rsidRPr="005B326F">
        <w:rPr>
          <w:rFonts w:eastAsia="SimSun"/>
          <w:snapToGrid w:val="0"/>
          <w:color w:val="000000"/>
          <w:szCs w:val="21"/>
          <w:lang w:val="en-US" w:eastAsia="en-US"/>
        </w:rPr>
        <w:t xml:space="preserve"> drop of </w:t>
      </w:r>
      <w:r w:rsidRPr="005B326F">
        <w:rPr>
          <w:rFonts w:eastAsia="SimSun" w:hint="eastAsia"/>
          <w:snapToGrid w:val="0"/>
          <w:color w:val="000000"/>
          <w:szCs w:val="21"/>
          <w:lang w:val="en-US" w:eastAsia="en-US"/>
        </w:rPr>
        <w:t>the curvature demand</w:t>
      </w:r>
      <w:r w:rsidRPr="005B326F">
        <w:rPr>
          <w:rFonts w:eastAsia="SimSun"/>
          <w:snapToGrid w:val="0"/>
          <w:color w:val="000000"/>
          <w:szCs w:val="21"/>
          <w:lang w:val="en-US" w:eastAsia="en-US"/>
        </w:rPr>
        <w:t>s</w:t>
      </w:r>
      <w:r w:rsidRPr="005B326F">
        <w:rPr>
          <w:rFonts w:eastAsia="SimSun" w:hint="eastAsia"/>
          <w:snapToGrid w:val="0"/>
          <w:color w:val="000000"/>
          <w:szCs w:val="21"/>
          <w:lang w:val="en-US" w:eastAsia="en-US"/>
        </w:rPr>
        <w:t xml:space="preserve"> </w:t>
      </w:r>
      <w:r w:rsidRPr="005B326F">
        <w:rPr>
          <w:rFonts w:eastAsia="SimSun"/>
          <w:snapToGrid w:val="0"/>
          <w:color w:val="000000"/>
          <w:szCs w:val="21"/>
          <w:lang w:val="en-US" w:eastAsia="en-US"/>
        </w:rPr>
        <w:t>at</w:t>
      </w:r>
      <w:r w:rsidRPr="005B326F">
        <w:rPr>
          <w:rFonts w:eastAsia="SimSun" w:hint="eastAsia"/>
          <w:snapToGrid w:val="0"/>
          <w:color w:val="000000"/>
          <w:szCs w:val="21"/>
          <w:lang w:val="en-US" w:eastAsia="en-US"/>
        </w:rPr>
        <w:t xml:space="preserve"> the tower and bent bottom section</w:t>
      </w:r>
      <w:r w:rsidRPr="005B326F">
        <w:rPr>
          <w:rFonts w:eastAsia="SimSun"/>
          <w:snapToGrid w:val="0"/>
          <w:color w:val="000000"/>
          <w:szCs w:val="21"/>
          <w:lang w:val="en-US" w:eastAsia="en-US"/>
        </w:rPr>
        <w:t>s</w:t>
      </w:r>
      <w:r w:rsidRPr="005B326F">
        <w:rPr>
          <w:rFonts w:eastAsia="SimSun" w:hint="eastAsia"/>
          <w:snapToGrid w:val="0"/>
          <w:color w:val="000000"/>
          <w:szCs w:val="21"/>
          <w:lang w:val="en-US" w:eastAsia="en-US"/>
        </w:rPr>
        <w:t xml:space="preserve"> </w:t>
      </w:r>
      <w:r w:rsidRPr="005B326F">
        <w:rPr>
          <w:rFonts w:eastAsia="SimSun"/>
          <w:snapToGrid w:val="0"/>
          <w:color w:val="000000"/>
          <w:szCs w:val="21"/>
          <w:lang w:val="en-US" w:eastAsia="en-US"/>
        </w:rPr>
        <w:t xml:space="preserve">is found in </w:t>
      </w:r>
      <w:r w:rsidRPr="005B326F">
        <w:rPr>
          <w:rFonts w:eastAsia="SimSun" w:hint="eastAsia"/>
          <w:snapToGrid w:val="0"/>
          <w:color w:val="000000"/>
          <w:szCs w:val="21"/>
          <w:lang w:val="en-US" w:eastAsia="en-US"/>
        </w:rPr>
        <w:t xml:space="preserve">TSDSS. </w:t>
      </w:r>
    </w:p>
    <w:p w:rsidR="005B326F" w:rsidRPr="005B326F" w:rsidRDefault="005B326F" w:rsidP="005B326F">
      <w:pPr>
        <w:widowControl w:val="0"/>
        <w:spacing w:after="0" w:line="240" w:lineRule="auto"/>
        <w:jc w:val="both"/>
        <w:rPr>
          <w:rFonts w:eastAsia="SimSun"/>
          <w:snapToGrid w:val="0"/>
          <w:szCs w:val="24"/>
          <w:lang w:val="en-US" w:eastAsia="en-US"/>
        </w:rPr>
      </w:pPr>
    </w:p>
    <w:p w:rsidR="005B326F" w:rsidRPr="005B326F" w:rsidRDefault="005B326F" w:rsidP="005B326F">
      <w:pPr>
        <w:widowControl w:val="0"/>
        <w:spacing w:after="0" w:line="240" w:lineRule="auto"/>
        <w:jc w:val="center"/>
        <w:rPr>
          <w:rFonts w:eastAsia="SimSun"/>
          <w:bCs/>
          <w:snapToGrid w:val="0"/>
          <w:szCs w:val="24"/>
          <w:lang w:val="en-US" w:eastAsia="en-US"/>
        </w:rPr>
      </w:pPr>
      <w:r w:rsidRPr="005B326F">
        <w:rPr>
          <w:rFonts w:eastAsia="SimSun"/>
          <w:bCs/>
          <w:noProof/>
          <w:snapToGrid w:val="0"/>
          <w:szCs w:val="24"/>
        </w:rPr>
        <w:drawing>
          <wp:inline distT="0" distB="0" distL="0" distR="0" wp14:anchorId="7E091D96" wp14:editId="3EC10C63">
            <wp:extent cx="3339084" cy="2833116"/>
            <wp:effectExtent l="0" t="0" r="0" b="57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rison of curvat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9084" cy="2833116"/>
                    </a:xfrm>
                    <a:prstGeom prst="rect">
                      <a:avLst/>
                    </a:prstGeom>
                  </pic:spPr>
                </pic:pic>
              </a:graphicData>
            </a:graphic>
          </wp:inline>
        </w:drawing>
      </w:r>
    </w:p>
    <w:p w:rsidR="005B326F" w:rsidRPr="005B326F" w:rsidRDefault="005B326F" w:rsidP="005B326F">
      <w:pPr>
        <w:widowControl w:val="0"/>
        <w:spacing w:after="0" w:line="240" w:lineRule="auto"/>
        <w:jc w:val="both"/>
        <w:rPr>
          <w:rFonts w:eastAsia="SimSun"/>
          <w:snapToGrid w:val="0"/>
          <w:szCs w:val="24"/>
          <w:lang w:eastAsia="en-US"/>
        </w:rPr>
      </w:pPr>
    </w:p>
    <w:p w:rsidR="005B326F" w:rsidRPr="005B326F" w:rsidRDefault="005B326F" w:rsidP="005B326F">
      <w:pPr>
        <w:widowControl w:val="0"/>
        <w:spacing w:after="0" w:line="240" w:lineRule="auto"/>
        <w:jc w:val="center"/>
        <w:rPr>
          <w:rFonts w:eastAsia="SimSun"/>
          <w:snapToGrid w:val="0"/>
          <w:sz w:val="20"/>
          <w:szCs w:val="24"/>
          <w:lang w:val="en-GB" w:eastAsia="zh-CN"/>
        </w:rPr>
      </w:pPr>
      <w:r w:rsidRPr="005B326F">
        <w:rPr>
          <w:rFonts w:eastAsia="SimSun"/>
          <w:snapToGrid w:val="0"/>
          <w:sz w:val="20"/>
          <w:szCs w:val="24"/>
          <w:lang w:val="en-GB" w:eastAsia="en-US"/>
        </w:rPr>
        <w:t xml:space="preserve">Figure </w:t>
      </w:r>
      <w:r w:rsidRPr="005B326F">
        <w:rPr>
          <w:rFonts w:eastAsia="SimSun"/>
          <w:bCs/>
          <w:snapToGrid w:val="0"/>
          <w:sz w:val="20"/>
          <w:szCs w:val="24"/>
          <w:lang w:val="en-GB" w:eastAsia="en-US"/>
        </w:rPr>
        <w:t>11</w:t>
      </w:r>
      <w:r w:rsidRPr="005B326F">
        <w:rPr>
          <w:rFonts w:eastAsia="SimSun" w:hint="eastAsia"/>
          <w:bCs/>
          <w:snapToGrid w:val="0"/>
          <w:sz w:val="20"/>
          <w:szCs w:val="24"/>
          <w:lang w:val="en-US" w:eastAsia="en-US"/>
        </w:rPr>
        <w:t>.</w:t>
      </w:r>
      <w:r w:rsidRPr="005B326F">
        <w:rPr>
          <w:rFonts w:eastAsia="SimSun"/>
          <w:bCs/>
          <w:snapToGrid w:val="0"/>
          <w:sz w:val="20"/>
          <w:szCs w:val="24"/>
          <w:lang w:val="en-US" w:eastAsia="en-US"/>
        </w:rPr>
        <w:t xml:space="preserve"> </w:t>
      </w:r>
      <w:r w:rsidRPr="005B326F">
        <w:rPr>
          <w:rFonts w:eastAsia="SimSun" w:hint="eastAsia"/>
          <w:bCs/>
          <w:snapToGrid w:val="0"/>
          <w:sz w:val="20"/>
          <w:szCs w:val="24"/>
          <w:lang w:val="en-US" w:eastAsia="en-US"/>
        </w:rPr>
        <w:t xml:space="preserve">Section </w:t>
      </w:r>
      <w:r w:rsidRPr="005B326F">
        <w:rPr>
          <w:rFonts w:eastAsia="SimSun" w:hint="eastAsia"/>
          <w:snapToGrid w:val="0"/>
          <w:sz w:val="20"/>
          <w:szCs w:val="24"/>
          <w:lang w:val="en-GB" w:eastAsia="en-US"/>
        </w:rPr>
        <w:t>curvature</w:t>
      </w:r>
      <w:r w:rsidRPr="005B326F">
        <w:rPr>
          <w:rFonts w:eastAsia="SimSun"/>
          <w:snapToGrid w:val="0"/>
          <w:sz w:val="20"/>
          <w:szCs w:val="24"/>
          <w:lang w:val="en-GB" w:eastAsia="en-US"/>
        </w:rPr>
        <w:t xml:space="preserve"> time-histories of </w:t>
      </w:r>
      <w:r w:rsidRPr="005B326F">
        <w:rPr>
          <w:rFonts w:eastAsia="SimSun"/>
          <w:noProof/>
          <w:snapToGrid w:val="0"/>
          <w:sz w:val="20"/>
          <w:szCs w:val="24"/>
          <w:lang w:val="en-GB" w:eastAsia="en-US"/>
        </w:rPr>
        <w:t>different</w:t>
      </w:r>
      <w:r w:rsidRPr="005B326F">
        <w:rPr>
          <w:rFonts w:eastAsia="SimSun"/>
          <w:snapToGrid w:val="0"/>
          <w:sz w:val="20"/>
          <w:szCs w:val="24"/>
          <w:lang w:val="en-GB" w:eastAsia="en-US"/>
        </w:rPr>
        <w:t xml:space="preserve"> systems under E10 (</w:t>
      </w:r>
      <w:r w:rsidRPr="005B326F">
        <w:rPr>
          <w:rFonts w:eastAsia="SimSun"/>
          <w:i/>
          <w:snapToGrid w:val="0"/>
          <w:sz w:val="20"/>
          <w:szCs w:val="24"/>
          <w:lang w:val="en-GB" w:eastAsia="en-US"/>
        </w:rPr>
        <w:t>S</w:t>
      </w:r>
      <w:r w:rsidRPr="005B326F">
        <w:rPr>
          <w:rFonts w:eastAsia="SimSun"/>
          <w:snapToGrid w:val="0"/>
          <w:sz w:val="20"/>
          <w:szCs w:val="24"/>
          <w:lang w:val="en-GB" w:eastAsia="en-US"/>
        </w:rPr>
        <w:t xml:space="preserve">1-1): (a), (b) and (c) </w:t>
      </w:r>
      <w:r w:rsidRPr="005B326F">
        <w:rPr>
          <w:rFonts w:eastAsia="SimSun" w:hint="eastAsia"/>
          <w:snapToGrid w:val="0"/>
          <w:sz w:val="20"/>
          <w:szCs w:val="24"/>
          <w:lang w:val="en-GB" w:eastAsia="zh-CN"/>
        </w:rPr>
        <w:t xml:space="preserve">the </w:t>
      </w:r>
      <w:r w:rsidRPr="005B326F">
        <w:rPr>
          <w:rFonts w:eastAsia="SimSun"/>
          <w:snapToGrid w:val="0"/>
          <w:sz w:val="20"/>
          <w:szCs w:val="24"/>
          <w:lang w:val="en-GB" w:eastAsia="en-US"/>
        </w:rPr>
        <w:t>curvature at bottom section</w:t>
      </w:r>
      <w:r w:rsidRPr="005B326F">
        <w:rPr>
          <w:rFonts w:eastAsia="SimSun" w:hint="eastAsia"/>
          <w:snapToGrid w:val="0"/>
          <w:sz w:val="20"/>
          <w:szCs w:val="24"/>
          <w:lang w:val="en-GB" w:eastAsia="zh-CN"/>
        </w:rPr>
        <w:t>s</w:t>
      </w:r>
      <w:r w:rsidRPr="005B326F">
        <w:rPr>
          <w:rFonts w:eastAsia="SimSun"/>
          <w:snapToGrid w:val="0"/>
          <w:sz w:val="20"/>
          <w:szCs w:val="24"/>
          <w:lang w:val="en-GB" w:eastAsia="en-US"/>
        </w:rPr>
        <w:t xml:space="preserve"> of Bent 1, Bent 2 and Tower 1.</w:t>
      </w:r>
    </w:p>
    <w:p w:rsidR="005B326F" w:rsidRPr="005B326F" w:rsidRDefault="005B326F" w:rsidP="005B326F">
      <w:pPr>
        <w:widowControl w:val="0"/>
        <w:spacing w:after="0" w:line="240" w:lineRule="auto"/>
        <w:jc w:val="both"/>
        <w:rPr>
          <w:rFonts w:eastAsia="SimSun"/>
          <w:snapToGrid w:val="0"/>
          <w:szCs w:val="24"/>
          <w:lang w:val="en-US" w:eastAsia="zh-CN"/>
        </w:rPr>
      </w:pPr>
    </w:p>
    <w:p w:rsidR="005B326F" w:rsidRPr="005B326F" w:rsidRDefault="005B326F" w:rsidP="005B326F">
      <w:pPr>
        <w:widowControl w:val="0"/>
        <w:spacing w:after="0" w:line="240" w:lineRule="auto"/>
        <w:jc w:val="both"/>
        <w:rPr>
          <w:rFonts w:eastAsia="SimSun"/>
          <w:snapToGrid w:val="0"/>
          <w:szCs w:val="24"/>
          <w:lang w:val="en-US" w:eastAsia="en-US"/>
        </w:rPr>
      </w:pPr>
      <w:r w:rsidRPr="005B326F">
        <w:rPr>
          <w:rFonts w:eastAsia="SimSun"/>
          <w:snapToGrid w:val="0"/>
          <w:szCs w:val="24"/>
          <w:lang w:val="en-US" w:eastAsia="en-US"/>
        </w:rPr>
        <w:t>F</w:t>
      </w:r>
      <w:r w:rsidRPr="005B326F">
        <w:rPr>
          <w:rFonts w:eastAsia="SimSun" w:hint="eastAsia"/>
          <w:snapToGrid w:val="0"/>
          <w:szCs w:val="24"/>
          <w:lang w:val="en-US" w:eastAsia="en-US"/>
        </w:rPr>
        <w:t>igure</w:t>
      </w:r>
      <w:r w:rsidRPr="005B326F">
        <w:rPr>
          <w:rFonts w:eastAsia="SimSun"/>
          <w:snapToGrid w:val="0"/>
          <w:szCs w:val="24"/>
          <w:lang w:val="en-US" w:eastAsia="en-US"/>
        </w:rPr>
        <w:t xml:space="preserve"> 12</w:t>
      </w:r>
      <w:r w:rsidRPr="005B326F">
        <w:rPr>
          <w:rFonts w:eastAsia="SimSun" w:hint="eastAsia"/>
          <w:snapToGrid w:val="0"/>
          <w:szCs w:val="24"/>
          <w:lang w:val="en-US" w:eastAsia="en-US"/>
        </w:rPr>
        <w:t xml:space="preserve"> </w:t>
      </w:r>
      <w:r w:rsidRPr="005B326F">
        <w:rPr>
          <w:rFonts w:eastAsia="SimSun"/>
          <w:snapToGrid w:val="0"/>
          <w:szCs w:val="24"/>
          <w:lang w:val="en-US" w:eastAsia="en-US"/>
        </w:rPr>
        <w:t>present</w:t>
      </w:r>
      <w:r w:rsidRPr="005B326F">
        <w:rPr>
          <w:rFonts w:eastAsia="SimSun" w:hint="eastAsia"/>
          <w:snapToGrid w:val="0"/>
          <w:szCs w:val="24"/>
          <w:lang w:val="en-US" w:eastAsia="en-US"/>
        </w:rPr>
        <w:t xml:space="preserve">s </w:t>
      </w:r>
      <w:r w:rsidRPr="005B326F">
        <w:rPr>
          <w:rFonts w:eastAsia="SimSun"/>
          <w:snapToGrid w:val="0"/>
          <w:szCs w:val="24"/>
          <w:lang w:val="en-US" w:eastAsia="en-US"/>
        </w:rPr>
        <w:t>the</w:t>
      </w:r>
      <w:r w:rsidRPr="005B326F">
        <w:rPr>
          <w:rFonts w:eastAsia="SimSun" w:hint="eastAsia"/>
          <w:snapToGrid w:val="0"/>
          <w:szCs w:val="24"/>
          <w:lang w:val="en-US" w:eastAsia="en-US"/>
        </w:rPr>
        <w:t xml:space="preserve"> curvature</w:t>
      </w:r>
      <w:r w:rsidRPr="005B326F">
        <w:rPr>
          <w:rFonts w:eastAsia="SimSun"/>
          <w:snapToGrid w:val="0"/>
          <w:szCs w:val="24"/>
          <w:lang w:val="en-US" w:eastAsia="en-US"/>
        </w:rPr>
        <w:t xml:space="preserve"> envelope</w:t>
      </w:r>
      <w:r w:rsidRPr="005B326F">
        <w:rPr>
          <w:rFonts w:eastAsia="SimSun" w:hint="eastAsia"/>
          <w:snapToGrid w:val="0"/>
          <w:szCs w:val="24"/>
          <w:lang w:val="en-US" w:eastAsia="en-US"/>
        </w:rPr>
        <w:t>s along</w:t>
      </w:r>
      <w:r w:rsidRPr="005B326F">
        <w:rPr>
          <w:rFonts w:eastAsia="SimSun"/>
          <w:snapToGrid w:val="0"/>
          <w:szCs w:val="24"/>
          <w:lang w:val="en-US" w:eastAsia="en-US"/>
        </w:rPr>
        <w:t xml:space="preserve"> the </w:t>
      </w:r>
      <w:r w:rsidRPr="005B326F">
        <w:rPr>
          <w:rFonts w:eastAsia="SimSun" w:hint="eastAsia"/>
          <w:snapToGrid w:val="0"/>
          <w:szCs w:val="24"/>
          <w:lang w:val="en-US" w:eastAsia="en-US"/>
        </w:rPr>
        <w:t xml:space="preserve">tower column of TSDSS and TFS under different ground motions. </w:t>
      </w:r>
      <w:r w:rsidRPr="005B326F">
        <w:rPr>
          <w:rFonts w:eastAsia="SimSun"/>
          <w:snapToGrid w:val="0"/>
          <w:szCs w:val="24"/>
          <w:lang w:val="en-US" w:eastAsia="en-US"/>
        </w:rPr>
        <w:t>As can be seen from these results, t</w:t>
      </w:r>
      <w:r w:rsidRPr="005B326F">
        <w:rPr>
          <w:rFonts w:eastAsia="SimSun" w:hint="eastAsia"/>
          <w:snapToGrid w:val="0"/>
          <w:szCs w:val="24"/>
          <w:lang w:val="en-US" w:eastAsia="en-US"/>
        </w:rPr>
        <w:t>he TSDSS can reduce section curvature</w:t>
      </w:r>
      <w:r w:rsidRPr="005B326F">
        <w:rPr>
          <w:rFonts w:eastAsia="SimSun"/>
          <w:snapToGrid w:val="0"/>
          <w:szCs w:val="24"/>
          <w:lang w:val="en-US" w:eastAsia="en-US"/>
        </w:rPr>
        <w:t>s</w:t>
      </w:r>
      <w:r w:rsidRPr="005B326F">
        <w:rPr>
          <w:rFonts w:eastAsia="SimSun" w:hint="eastAsia"/>
          <w:snapToGrid w:val="0"/>
          <w:szCs w:val="24"/>
          <w:lang w:val="en-US" w:eastAsia="en-US"/>
        </w:rPr>
        <w:t xml:space="preserve"> along </w:t>
      </w:r>
      <w:r w:rsidRPr="005B326F">
        <w:rPr>
          <w:rFonts w:eastAsia="SimSun"/>
          <w:snapToGrid w:val="0"/>
          <w:szCs w:val="24"/>
          <w:lang w:val="en-US" w:eastAsia="en-US"/>
        </w:rPr>
        <w:t xml:space="preserve">the </w:t>
      </w:r>
      <w:r w:rsidRPr="005B326F">
        <w:rPr>
          <w:rFonts w:eastAsia="SimSun" w:hint="eastAsia"/>
          <w:snapToGrid w:val="0"/>
          <w:szCs w:val="24"/>
          <w:lang w:val="en-US" w:eastAsia="en-US"/>
        </w:rPr>
        <w:t xml:space="preserve">tower column under </w:t>
      </w:r>
      <w:r w:rsidRPr="005B326F">
        <w:rPr>
          <w:rFonts w:eastAsia="SimSun"/>
          <w:snapToGrid w:val="0"/>
          <w:szCs w:val="24"/>
          <w:lang w:val="en-CA" w:eastAsia="en-US"/>
        </w:rPr>
        <w:t>the three</w:t>
      </w:r>
      <w:r w:rsidRPr="005B326F">
        <w:rPr>
          <w:rFonts w:eastAsia="SimSun" w:hint="eastAsia"/>
          <w:snapToGrid w:val="0"/>
          <w:szCs w:val="24"/>
          <w:lang w:val="en-CA" w:eastAsia="en-US"/>
        </w:rPr>
        <w:t xml:space="preserve"> ground motions.</w:t>
      </w:r>
      <w:r w:rsidRPr="005B326F">
        <w:rPr>
          <w:rFonts w:eastAsia="SimSun"/>
          <w:snapToGrid w:val="0"/>
          <w:szCs w:val="24"/>
          <w:lang w:val="en-US" w:eastAsia="en-US"/>
        </w:rPr>
        <w:t xml:space="preserve"> Additionally</w:t>
      </w:r>
      <w:r w:rsidRPr="005B326F">
        <w:rPr>
          <w:rFonts w:eastAsia="SimSun" w:hint="eastAsia"/>
          <w:snapToGrid w:val="0"/>
          <w:szCs w:val="24"/>
          <w:lang w:val="en-US" w:eastAsia="en-US"/>
        </w:rPr>
        <w:t xml:space="preserve">, it is worth highlighting that the towers are more vulnerable when </w:t>
      </w:r>
      <w:r w:rsidRPr="005B326F">
        <w:rPr>
          <w:rFonts w:eastAsia="SimSun"/>
          <w:snapToGrid w:val="0"/>
          <w:szCs w:val="24"/>
          <w:lang w:val="en-US" w:eastAsia="en-US"/>
        </w:rPr>
        <w:t xml:space="preserve">they </w:t>
      </w:r>
      <w:r w:rsidRPr="005B326F">
        <w:rPr>
          <w:rFonts w:eastAsia="SimSun" w:hint="eastAsia"/>
          <w:snapToGrid w:val="0"/>
          <w:szCs w:val="24"/>
          <w:lang w:val="en-US" w:eastAsia="en-US"/>
        </w:rPr>
        <w:t>experience</w:t>
      </w:r>
      <w:r w:rsidRPr="005B326F">
        <w:rPr>
          <w:rFonts w:eastAsia="SimSun"/>
          <w:snapToGrid w:val="0"/>
          <w:szCs w:val="24"/>
          <w:lang w:val="en-US" w:eastAsia="en-US"/>
        </w:rPr>
        <w:t xml:space="preserve"> earthquakes containing more low-frequency contents, such as the E10 ground motion in this study as shown in Figure 5.</w:t>
      </w:r>
    </w:p>
    <w:p w:rsidR="005B326F" w:rsidRPr="005B326F" w:rsidRDefault="005B326F" w:rsidP="005B326F">
      <w:pPr>
        <w:widowControl w:val="0"/>
        <w:spacing w:after="0" w:line="240" w:lineRule="auto"/>
        <w:jc w:val="both"/>
        <w:rPr>
          <w:rFonts w:eastAsia="Times New Roman"/>
          <w:snapToGrid w:val="0"/>
          <w:szCs w:val="24"/>
          <w:lang w:val="el-GR" w:eastAsia="en-US"/>
        </w:rPr>
      </w:pPr>
    </w:p>
    <w:p w:rsidR="005B326F" w:rsidRPr="005B326F" w:rsidRDefault="005B326F" w:rsidP="005B326F">
      <w:pPr>
        <w:widowControl w:val="0"/>
        <w:spacing w:after="0" w:line="240" w:lineRule="auto"/>
        <w:jc w:val="center"/>
        <w:rPr>
          <w:rFonts w:eastAsia="SimSun"/>
          <w:snapToGrid w:val="0"/>
          <w:szCs w:val="24"/>
          <w:lang w:val="en-US" w:eastAsia="en-US"/>
        </w:rPr>
      </w:pPr>
      <w:r w:rsidRPr="005B326F">
        <w:rPr>
          <w:rFonts w:eastAsia="SimSun"/>
          <w:noProof/>
          <w:snapToGrid w:val="0"/>
          <w:szCs w:val="24"/>
        </w:rPr>
        <w:drawing>
          <wp:inline distT="0" distB="0" distL="0" distR="0" wp14:anchorId="6918843D" wp14:editId="6C9614EA">
            <wp:extent cx="2615184" cy="27736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ison of peak curvature along tower shaf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5184" cy="2773680"/>
                    </a:xfrm>
                    <a:prstGeom prst="rect">
                      <a:avLst/>
                    </a:prstGeom>
                  </pic:spPr>
                </pic:pic>
              </a:graphicData>
            </a:graphic>
          </wp:inline>
        </w:drawing>
      </w:r>
    </w:p>
    <w:p w:rsidR="005B326F" w:rsidRPr="005B326F" w:rsidRDefault="005B326F" w:rsidP="005B326F">
      <w:pPr>
        <w:widowControl w:val="0"/>
        <w:spacing w:after="0" w:line="240" w:lineRule="auto"/>
        <w:jc w:val="both"/>
        <w:rPr>
          <w:rFonts w:eastAsia="SimSun"/>
          <w:snapToGrid w:val="0"/>
          <w:szCs w:val="24"/>
          <w:lang w:eastAsia="en-US"/>
        </w:rPr>
      </w:pPr>
    </w:p>
    <w:p w:rsidR="005B326F" w:rsidRPr="005B326F" w:rsidRDefault="005B326F" w:rsidP="005B326F">
      <w:pPr>
        <w:widowControl w:val="0"/>
        <w:spacing w:after="0" w:line="240" w:lineRule="auto"/>
        <w:jc w:val="center"/>
        <w:rPr>
          <w:rFonts w:eastAsia="SimSun"/>
          <w:snapToGrid w:val="0"/>
          <w:sz w:val="20"/>
          <w:szCs w:val="24"/>
          <w:lang w:val="en-US" w:eastAsia="en-US"/>
        </w:rPr>
      </w:pPr>
      <w:r w:rsidRPr="005B326F">
        <w:rPr>
          <w:rFonts w:eastAsia="SimSun"/>
          <w:snapToGrid w:val="0"/>
          <w:sz w:val="20"/>
          <w:szCs w:val="24"/>
          <w:lang w:val="en-GB" w:eastAsia="en-US"/>
        </w:rPr>
        <w:t xml:space="preserve">Figure </w:t>
      </w:r>
      <w:r w:rsidRPr="005B326F">
        <w:rPr>
          <w:rFonts w:eastAsia="SimSun"/>
          <w:snapToGrid w:val="0"/>
          <w:sz w:val="20"/>
          <w:szCs w:val="24"/>
          <w:lang w:val="en-US" w:eastAsia="en-US"/>
        </w:rPr>
        <w:t>12</w:t>
      </w:r>
      <w:r w:rsidRPr="005B326F">
        <w:rPr>
          <w:rFonts w:eastAsia="SimSun" w:hint="eastAsia"/>
          <w:snapToGrid w:val="0"/>
          <w:sz w:val="20"/>
          <w:szCs w:val="24"/>
          <w:lang w:val="en-US" w:eastAsia="en-US"/>
        </w:rPr>
        <w:t>. Comparisons of peak</w:t>
      </w:r>
      <w:r w:rsidRPr="005B326F">
        <w:rPr>
          <w:rFonts w:eastAsia="SimSun"/>
          <w:snapToGrid w:val="0"/>
          <w:sz w:val="20"/>
          <w:szCs w:val="24"/>
          <w:lang w:val="en-US" w:eastAsia="en-US"/>
        </w:rPr>
        <w:t xml:space="preserve"> </w:t>
      </w:r>
      <w:r w:rsidRPr="005B326F">
        <w:rPr>
          <w:rFonts w:eastAsia="SimSun" w:hint="eastAsia"/>
          <w:snapToGrid w:val="0"/>
          <w:sz w:val="20"/>
          <w:szCs w:val="24"/>
          <w:lang w:val="en-US" w:eastAsia="en-US"/>
        </w:rPr>
        <w:t>curvatures</w:t>
      </w:r>
      <w:r w:rsidRPr="005B326F">
        <w:rPr>
          <w:rFonts w:eastAsia="SimSun"/>
          <w:snapToGrid w:val="0"/>
          <w:sz w:val="20"/>
          <w:szCs w:val="24"/>
          <w:lang w:val="en-US" w:eastAsia="en-US"/>
        </w:rPr>
        <w:t xml:space="preserve"> </w:t>
      </w:r>
      <w:r w:rsidRPr="005B326F">
        <w:rPr>
          <w:rFonts w:eastAsia="SimSun" w:hint="eastAsia"/>
          <w:snapToGrid w:val="0"/>
          <w:sz w:val="20"/>
          <w:szCs w:val="24"/>
          <w:lang w:val="en-US" w:eastAsia="en-US"/>
        </w:rPr>
        <w:t xml:space="preserve">along tower shaft between the TSDSS and TFS under </w:t>
      </w:r>
      <w:r w:rsidRPr="005B326F">
        <w:rPr>
          <w:rFonts w:eastAsia="SimSun"/>
          <w:snapToGrid w:val="0"/>
          <w:sz w:val="20"/>
          <w:szCs w:val="24"/>
          <w:lang w:val="en-US" w:eastAsia="en-US"/>
        </w:rPr>
        <w:t>different ground motions</w:t>
      </w:r>
      <w:r w:rsidRPr="005B326F">
        <w:rPr>
          <w:rFonts w:eastAsia="SimSun" w:hint="eastAsia"/>
          <w:snapToGrid w:val="0"/>
          <w:sz w:val="20"/>
          <w:szCs w:val="24"/>
          <w:lang w:val="en-US" w:eastAsia="en-US"/>
        </w:rPr>
        <w:t xml:space="preserve"> with a PGA of 0.5g</w:t>
      </w:r>
    </w:p>
    <w:p w:rsidR="005B326F" w:rsidRPr="005B326F" w:rsidRDefault="005B326F" w:rsidP="005B326F">
      <w:pPr>
        <w:widowControl w:val="0"/>
        <w:spacing w:after="0" w:line="240" w:lineRule="auto"/>
        <w:jc w:val="both"/>
        <w:rPr>
          <w:rFonts w:eastAsia="Times New Roman"/>
          <w:snapToGrid w:val="0"/>
          <w:szCs w:val="24"/>
          <w:lang w:val="el-GR"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suppressAutoHyphens/>
        <w:spacing w:after="0" w:line="240" w:lineRule="auto"/>
        <w:jc w:val="both"/>
        <w:outlineLvl w:val="0"/>
        <w:rPr>
          <w:rFonts w:eastAsia="Calibri"/>
          <w:b/>
          <w:caps/>
          <w:snapToGrid w:val="0"/>
          <w:szCs w:val="24"/>
          <w:lang w:val="en-US" w:eastAsia="en-US" w:bidi="en-US"/>
        </w:rPr>
      </w:pPr>
      <w:r w:rsidRPr="005B326F">
        <w:rPr>
          <w:rFonts w:eastAsia="Calibri"/>
          <w:b/>
          <w:caps/>
          <w:snapToGrid w:val="0"/>
          <w:szCs w:val="24"/>
          <w:lang w:val="en-US" w:eastAsia="en-US" w:bidi="en-US"/>
        </w:rPr>
        <w:t>5. Conclusions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This paper aims to</w:t>
      </w:r>
      <w:r w:rsidRPr="005B326F">
        <w:rPr>
          <w:rFonts w:eastAsia="Times New Roman" w:hint="eastAsia"/>
          <w:snapToGrid w:val="0"/>
          <w:szCs w:val="24"/>
          <w:lang w:val="en-US" w:eastAsia="en-US"/>
        </w:rPr>
        <w:t xml:space="preserve"> </w:t>
      </w:r>
      <w:r w:rsidRPr="005B326F">
        <w:rPr>
          <w:rFonts w:eastAsia="Times New Roman"/>
          <w:snapToGrid w:val="0"/>
          <w:szCs w:val="24"/>
          <w:lang w:val="en-US" w:eastAsia="en-US"/>
        </w:rPr>
        <w:t>experimentally verify the mitigation efficiency of</w:t>
      </w:r>
      <w:r w:rsidRPr="005B326F">
        <w:rPr>
          <w:rFonts w:eastAsia="Times New Roman" w:hint="eastAsia"/>
          <w:snapToGrid w:val="0"/>
          <w:szCs w:val="24"/>
          <w:lang w:val="en-US" w:eastAsia="en-US"/>
        </w:rPr>
        <w:t xml:space="preserve"> </w:t>
      </w:r>
      <w:r w:rsidRPr="005B326F">
        <w:rPr>
          <w:rFonts w:eastAsia="Times New Roman"/>
          <w:snapToGrid w:val="0"/>
          <w:szCs w:val="24"/>
          <w:lang w:val="en-US" w:eastAsia="en-US"/>
        </w:rPr>
        <w:t>TSDSS for cable-stayed</w:t>
      </w:r>
      <w:r w:rsidRPr="005B326F">
        <w:rPr>
          <w:rFonts w:eastAsia="Times New Roman" w:hint="eastAsia"/>
          <w:snapToGrid w:val="0"/>
          <w:szCs w:val="24"/>
          <w:lang w:val="en-US" w:eastAsia="en-US"/>
        </w:rPr>
        <w:t xml:space="preserve"> </w:t>
      </w:r>
      <w:r w:rsidRPr="005B326F">
        <w:rPr>
          <w:rFonts w:eastAsia="Times New Roman"/>
          <w:snapToGrid w:val="0"/>
          <w:szCs w:val="24"/>
          <w:lang w:val="en-US" w:eastAsia="en-US"/>
        </w:rPr>
        <w:t>bridges, and investigate the seismic performance and reliability of TSDSS under ground motion sequences. Shake table tests on a 1/35-scaled model of Sutong Bridge with/without TSDs were conducted on a four-shake-table system. The main remarkable findings are as follows:</w:t>
      </w:r>
    </w:p>
    <w:p w:rsidR="005B326F" w:rsidRPr="005B326F" w:rsidRDefault="005B326F" w:rsidP="005B326F">
      <w:pPr>
        <w:widowControl w:val="0"/>
        <w:numPr>
          <w:ilvl w:val="0"/>
          <w:numId w:val="1"/>
        </w:numPr>
        <w:tabs>
          <w:tab w:val="left" w:pos="426"/>
        </w:tabs>
        <w:spacing w:after="0" w:line="240" w:lineRule="auto"/>
        <w:jc w:val="both"/>
        <w:rPr>
          <w:rFonts w:eastAsia="SimSun"/>
          <w:snapToGrid w:val="0"/>
          <w:szCs w:val="24"/>
          <w:lang w:val="en-US" w:eastAsia="zh-CN"/>
        </w:rPr>
      </w:pPr>
      <w:r w:rsidRPr="005B326F">
        <w:rPr>
          <w:rFonts w:eastAsia="SimSun"/>
          <w:snapToGrid w:val="0"/>
          <w:szCs w:val="24"/>
          <w:lang w:val="en-US" w:eastAsia="zh-CN"/>
        </w:rPr>
        <w:t>The TSD possesses an excellent energy dissipation capacity, but its hysteretic behavior is highly related to ground motions.</w:t>
      </w:r>
    </w:p>
    <w:p w:rsidR="005B326F" w:rsidRPr="005B326F" w:rsidRDefault="005B326F" w:rsidP="005B326F">
      <w:pPr>
        <w:widowControl w:val="0"/>
        <w:numPr>
          <w:ilvl w:val="0"/>
          <w:numId w:val="1"/>
        </w:numPr>
        <w:tabs>
          <w:tab w:val="left" w:pos="426"/>
        </w:tabs>
        <w:spacing w:after="0" w:line="240" w:lineRule="auto"/>
        <w:jc w:val="both"/>
        <w:rPr>
          <w:rFonts w:eastAsia="SimSun"/>
          <w:snapToGrid w:val="0"/>
          <w:szCs w:val="24"/>
          <w:lang w:val="en-US" w:eastAsia="zh-CN"/>
        </w:rPr>
      </w:pPr>
      <w:r w:rsidRPr="005B326F">
        <w:rPr>
          <w:rFonts w:eastAsia="Times New Roman"/>
          <w:snapToGrid w:val="0"/>
          <w:szCs w:val="24"/>
          <w:lang w:val="en-US" w:eastAsia="en-US"/>
        </w:rPr>
        <w:t>Although a gradual increase in residual deformations of TSD under ground motion sequences are recorded, but it has little influence on seismic performance of cable-stayed bridges.</w:t>
      </w:r>
    </w:p>
    <w:p w:rsidR="005B326F" w:rsidRPr="005B326F" w:rsidRDefault="005B326F" w:rsidP="005B326F">
      <w:pPr>
        <w:widowControl w:val="0"/>
        <w:numPr>
          <w:ilvl w:val="0"/>
          <w:numId w:val="1"/>
        </w:numPr>
        <w:tabs>
          <w:tab w:val="left" w:pos="426"/>
        </w:tabs>
        <w:spacing w:after="0" w:line="240" w:lineRule="auto"/>
        <w:jc w:val="both"/>
        <w:rPr>
          <w:rFonts w:eastAsia="SimSun"/>
          <w:snapToGrid w:val="0"/>
          <w:szCs w:val="24"/>
          <w:lang w:val="en-US" w:eastAsia="zh-CN"/>
        </w:rPr>
      </w:pPr>
      <w:r w:rsidRPr="005B326F">
        <w:rPr>
          <w:rFonts w:eastAsia="Times New Roman"/>
          <w:snapToGrid w:val="0"/>
          <w:szCs w:val="24"/>
          <w:lang w:val="en-US" w:eastAsia="en-US"/>
        </w:rPr>
        <w:t>The TSDs seismic system is experimentally validated to be a reliable and efficient seismic strategy for cable-stayed bridges.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suppressAutoHyphens/>
        <w:spacing w:after="0" w:line="240" w:lineRule="auto"/>
        <w:jc w:val="both"/>
        <w:outlineLvl w:val="0"/>
        <w:rPr>
          <w:rFonts w:eastAsia="Calibri"/>
          <w:b/>
          <w:caps/>
          <w:snapToGrid w:val="0"/>
          <w:szCs w:val="24"/>
          <w:lang w:val="en-US" w:eastAsia="en-US" w:bidi="en-US"/>
        </w:rPr>
      </w:pPr>
      <w:bookmarkStart w:id="5" w:name="_Toc379629628"/>
      <w:bookmarkStart w:id="6" w:name="_Toc379694064"/>
      <w:bookmarkStart w:id="7" w:name="_Toc379694194"/>
      <w:bookmarkStart w:id="8" w:name="_Toc379694311"/>
      <w:bookmarkStart w:id="9" w:name="_Toc380056998"/>
      <w:r w:rsidRPr="005B326F">
        <w:rPr>
          <w:rFonts w:eastAsia="Calibri"/>
          <w:b/>
          <w:caps/>
          <w:snapToGrid w:val="0"/>
          <w:szCs w:val="24"/>
          <w:lang w:val="en-US" w:eastAsia="en-US" w:bidi="en-US"/>
        </w:rPr>
        <w:t>6. Acknowledgments</w:t>
      </w:r>
      <w:bookmarkEnd w:id="5"/>
      <w:bookmarkEnd w:id="6"/>
      <w:bookmarkEnd w:id="7"/>
      <w:bookmarkEnd w:id="8"/>
      <w:bookmarkEnd w:id="9"/>
      <w:r w:rsidRPr="005B326F">
        <w:rPr>
          <w:rFonts w:eastAsia="Calibri"/>
          <w:b/>
          <w:caps/>
          <w:snapToGrid w:val="0"/>
          <w:szCs w:val="24"/>
          <w:lang w:val="en-US" w:eastAsia="en-US" w:bidi="en-US"/>
        </w:rPr>
        <w:t xml:space="preserve"> </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r w:rsidRPr="005B326F">
        <w:rPr>
          <w:rFonts w:eastAsia="Times New Roman"/>
          <w:snapToGrid w:val="0"/>
          <w:szCs w:val="24"/>
          <w:lang w:val="en-US" w:eastAsia="en-US"/>
        </w:rPr>
        <w:t>This study was supported by the National Basic</w:t>
      </w:r>
      <w:r w:rsidRPr="005B326F">
        <w:rPr>
          <w:rFonts w:eastAsia="SimSun" w:hint="eastAsia"/>
          <w:snapToGrid w:val="0"/>
          <w:szCs w:val="24"/>
          <w:lang w:val="en-US" w:eastAsia="zh-CN"/>
        </w:rPr>
        <w:t xml:space="preserve"> </w:t>
      </w:r>
      <w:r w:rsidRPr="005B326F">
        <w:rPr>
          <w:rFonts w:eastAsia="Times New Roman"/>
          <w:snapToGrid w:val="0"/>
          <w:szCs w:val="24"/>
          <w:lang w:val="en-US" w:eastAsia="en-US"/>
        </w:rPr>
        <w:t>Research Program of China (No.2013CB036302).</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keepNext/>
        <w:widowControl w:val="0"/>
        <w:suppressAutoHyphens/>
        <w:spacing w:after="0" w:line="240" w:lineRule="auto"/>
        <w:jc w:val="both"/>
        <w:outlineLvl w:val="0"/>
        <w:rPr>
          <w:rFonts w:eastAsia="Calibri"/>
          <w:b/>
          <w:caps/>
          <w:snapToGrid w:val="0"/>
          <w:szCs w:val="24"/>
          <w:lang w:val="en-US" w:eastAsia="en-US" w:bidi="en-US"/>
        </w:rPr>
      </w:pPr>
      <w:r w:rsidRPr="005B326F">
        <w:rPr>
          <w:rFonts w:eastAsia="Calibri"/>
          <w:b/>
          <w:caps/>
          <w:snapToGrid w:val="0"/>
          <w:szCs w:val="24"/>
          <w:lang w:val="en-US" w:eastAsia="en-US" w:bidi="en-US"/>
        </w:rPr>
        <w:t>7. References</w:t>
      </w:r>
    </w:p>
    <w:p w:rsidR="005B326F" w:rsidRPr="005B326F" w:rsidRDefault="005B326F" w:rsidP="005B326F">
      <w:pPr>
        <w:widowControl w:val="0"/>
        <w:spacing w:after="0" w:line="240" w:lineRule="auto"/>
        <w:jc w:val="both"/>
        <w:rPr>
          <w:rFonts w:eastAsia="Times New Roman"/>
          <w:snapToGrid w:val="0"/>
          <w:szCs w:val="24"/>
          <w:lang w:val="en-US" w:eastAsia="en-US"/>
        </w:rPr>
      </w:pP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China, M. of H. and U.-R. D. of P. R. (2011). </w:t>
      </w:r>
      <w:r w:rsidRPr="005B326F">
        <w:rPr>
          <w:rFonts w:eastAsia="Calibri"/>
          <w:i/>
          <w:iCs/>
          <w:noProof/>
          <w:snapToGrid w:val="0"/>
          <w:color w:val="000000"/>
          <w:sz w:val="20"/>
          <w:szCs w:val="20"/>
          <w:lang w:val="en-US" w:eastAsia="en-US" w:bidi="en-US"/>
        </w:rPr>
        <w:t>code for seismic design of urban bridges</w:t>
      </w:r>
      <w:r w:rsidRPr="005B326F">
        <w:rPr>
          <w:rFonts w:eastAsia="Calibri"/>
          <w:noProof/>
          <w:snapToGrid w:val="0"/>
          <w:color w:val="000000"/>
          <w:sz w:val="20"/>
          <w:szCs w:val="20"/>
          <w:lang w:val="en-US" w:eastAsia="en-US" w:bidi="en-US"/>
        </w:rPr>
        <w:t>. China Architecture &amp; Building Press, Beijing,China.</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Infanti, S., Papanikolas, P., Benzoni, G., and Castellano, M. G. (2004). “Rion-Antirion Bridge: Design and Full-Scale Testing of the Seismic Protection Devices.” </w:t>
      </w:r>
      <w:r w:rsidRPr="005B326F">
        <w:rPr>
          <w:rFonts w:eastAsia="Calibri"/>
          <w:i/>
          <w:iCs/>
          <w:noProof/>
          <w:snapToGrid w:val="0"/>
          <w:color w:val="000000"/>
          <w:sz w:val="20"/>
          <w:szCs w:val="20"/>
          <w:lang w:val="en-US" w:eastAsia="en-US" w:bidi="en-US"/>
        </w:rPr>
        <w:t>Proceedings of the 13th World Conference on Earthquake Engineering</w:t>
      </w:r>
      <w:r w:rsidRPr="005B326F">
        <w:rPr>
          <w:rFonts w:eastAsia="Calibri"/>
          <w:noProof/>
          <w:snapToGrid w:val="0"/>
          <w:color w:val="000000"/>
          <w:sz w:val="20"/>
          <w:szCs w:val="20"/>
          <w:lang w:val="en-US" w:eastAsia="en-US" w:bidi="en-US"/>
        </w:rPr>
        <w:t>.</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Ismail, M., Casas, J. R., and Rodellar, J. (2013). “Near-fault isolation of cable-stayed bridges using RNC isolator.” </w:t>
      </w:r>
      <w:r w:rsidRPr="005B326F">
        <w:rPr>
          <w:rFonts w:eastAsia="Calibri"/>
          <w:i/>
          <w:iCs/>
          <w:noProof/>
          <w:snapToGrid w:val="0"/>
          <w:color w:val="000000"/>
          <w:sz w:val="20"/>
          <w:szCs w:val="20"/>
          <w:lang w:val="en-US" w:eastAsia="en-US" w:bidi="en-US"/>
        </w:rPr>
        <w:t>Engineering Structures</w:t>
      </w:r>
      <w:r w:rsidRPr="005B326F">
        <w:rPr>
          <w:rFonts w:eastAsia="Calibri"/>
          <w:noProof/>
          <w:snapToGrid w:val="0"/>
          <w:color w:val="000000"/>
          <w:sz w:val="20"/>
          <w:szCs w:val="20"/>
          <w:lang w:val="en-US" w:eastAsia="en-US" w:bidi="en-US"/>
        </w:rPr>
        <w:t>, Elsevier Ltd, 56, 327–342.</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Kato, A., Nakamura, K., and Hiyama, Y. (2016). “The 2016 Kumamoto earthquake sequence.” </w:t>
      </w:r>
      <w:r w:rsidRPr="005B326F">
        <w:rPr>
          <w:rFonts w:eastAsia="Calibri"/>
          <w:i/>
          <w:iCs/>
          <w:noProof/>
          <w:snapToGrid w:val="0"/>
          <w:color w:val="000000"/>
          <w:sz w:val="20"/>
          <w:szCs w:val="20"/>
          <w:lang w:val="en-US" w:eastAsia="en-US" w:bidi="en-US"/>
        </w:rPr>
        <w:t>Proceedings of the Japan Academy, Series B</w:t>
      </w:r>
      <w:r w:rsidRPr="005B326F">
        <w:rPr>
          <w:rFonts w:eastAsia="Calibri"/>
          <w:noProof/>
          <w:snapToGrid w:val="0"/>
          <w:color w:val="000000"/>
          <w:sz w:val="20"/>
          <w:szCs w:val="20"/>
          <w:lang w:val="en-US" w:eastAsia="en-US" w:bidi="en-US"/>
        </w:rPr>
        <w:t>, 92(8), 358–371.</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Martínez-Rodrigo, M. D., and Filiatrault, A. (2015). “A case study on the application of passive control and seismic isolation techniques to cable-stayed bridges: A comparative investigation through non-linear dynamic analyses.” </w:t>
      </w:r>
      <w:r w:rsidRPr="005B326F">
        <w:rPr>
          <w:rFonts w:eastAsia="Calibri"/>
          <w:i/>
          <w:iCs/>
          <w:noProof/>
          <w:snapToGrid w:val="0"/>
          <w:color w:val="000000"/>
          <w:sz w:val="20"/>
          <w:szCs w:val="20"/>
          <w:lang w:val="en-US" w:eastAsia="en-US" w:bidi="en-US"/>
        </w:rPr>
        <w:t>Engineering Structures</w:t>
      </w:r>
      <w:r w:rsidRPr="005B326F">
        <w:rPr>
          <w:rFonts w:eastAsia="Calibri"/>
          <w:noProof/>
          <w:snapToGrid w:val="0"/>
          <w:color w:val="000000"/>
          <w:sz w:val="20"/>
          <w:szCs w:val="20"/>
          <w:lang w:val="en-US" w:eastAsia="en-US" w:bidi="en-US"/>
        </w:rPr>
        <w:t>, 99, 232–252.</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i/>
          <w:iCs/>
          <w:noProof/>
          <w:snapToGrid w:val="0"/>
          <w:color w:val="000000"/>
          <w:sz w:val="20"/>
          <w:szCs w:val="20"/>
          <w:lang w:val="en-US" w:eastAsia="en-US" w:bidi="en-US"/>
        </w:rPr>
        <w:t>MCPRC (Ministry of Communications of the People’s Republic of China). (2008).</w:t>
      </w:r>
      <w:r w:rsidRPr="005B326F">
        <w:rPr>
          <w:rFonts w:eastAsia="SimSun" w:hint="eastAsia"/>
          <w:i/>
          <w:iCs/>
          <w:noProof/>
          <w:snapToGrid w:val="0"/>
          <w:color w:val="000000"/>
          <w:sz w:val="20"/>
          <w:szCs w:val="20"/>
          <w:lang w:val="en-US" w:eastAsia="zh-CN" w:bidi="en-US"/>
        </w:rPr>
        <w:t xml:space="preserve"> </w:t>
      </w:r>
      <w:r w:rsidRPr="005B326F">
        <w:rPr>
          <w:rFonts w:eastAsia="Calibri"/>
          <w:i/>
          <w:iCs/>
          <w:noProof/>
          <w:snapToGrid w:val="0"/>
          <w:color w:val="000000"/>
          <w:sz w:val="20"/>
          <w:szCs w:val="20"/>
          <w:lang w:val="en-US" w:eastAsia="en-US" w:bidi="en-US"/>
        </w:rPr>
        <w:t>Guidelines</w:t>
      </w:r>
      <w:r w:rsidRPr="005B326F">
        <w:rPr>
          <w:rFonts w:eastAsia="SimSun" w:hint="eastAsia"/>
          <w:i/>
          <w:iCs/>
          <w:noProof/>
          <w:snapToGrid w:val="0"/>
          <w:color w:val="000000"/>
          <w:sz w:val="20"/>
          <w:szCs w:val="20"/>
          <w:lang w:val="en-US" w:eastAsia="zh-CN" w:bidi="en-US"/>
        </w:rPr>
        <w:t xml:space="preserve"> </w:t>
      </w:r>
      <w:r w:rsidRPr="005B326F">
        <w:rPr>
          <w:rFonts w:eastAsia="Calibri"/>
          <w:i/>
          <w:iCs/>
          <w:noProof/>
          <w:snapToGrid w:val="0"/>
          <w:color w:val="000000"/>
          <w:sz w:val="20"/>
          <w:szCs w:val="20"/>
          <w:lang w:val="en-US" w:eastAsia="en-US" w:bidi="en-US"/>
        </w:rPr>
        <w:t>for</w:t>
      </w:r>
      <w:r w:rsidRPr="005B326F">
        <w:rPr>
          <w:rFonts w:eastAsia="SimSun" w:hint="eastAsia"/>
          <w:i/>
          <w:iCs/>
          <w:noProof/>
          <w:snapToGrid w:val="0"/>
          <w:color w:val="000000"/>
          <w:sz w:val="20"/>
          <w:szCs w:val="20"/>
          <w:lang w:val="en-US" w:eastAsia="zh-CN" w:bidi="en-US"/>
        </w:rPr>
        <w:t xml:space="preserve"> </w:t>
      </w:r>
      <w:r w:rsidRPr="005B326F">
        <w:rPr>
          <w:rFonts w:eastAsia="Calibri"/>
          <w:i/>
          <w:iCs/>
          <w:noProof/>
          <w:snapToGrid w:val="0"/>
          <w:color w:val="000000"/>
          <w:sz w:val="20"/>
          <w:szCs w:val="20"/>
          <w:lang w:val="en-US" w:eastAsia="en-US" w:bidi="en-US"/>
        </w:rPr>
        <w:t>seismic</w:t>
      </w:r>
      <w:r w:rsidRPr="005B326F">
        <w:rPr>
          <w:rFonts w:eastAsia="SimSun" w:hint="eastAsia"/>
          <w:i/>
          <w:iCs/>
          <w:noProof/>
          <w:snapToGrid w:val="0"/>
          <w:color w:val="000000"/>
          <w:sz w:val="20"/>
          <w:szCs w:val="20"/>
          <w:lang w:val="en-US" w:eastAsia="zh-CN" w:bidi="en-US"/>
        </w:rPr>
        <w:t xml:space="preserve"> </w:t>
      </w:r>
      <w:r w:rsidRPr="005B326F">
        <w:rPr>
          <w:rFonts w:eastAsia="Calibri"/>
          <w:i/>
          <w:iCs/>
          <w:noProof/>
          <w:snapToGrid w:val="0"/>
          <w:color w:val="000000"/>
          <w:sz w:val="20"/>
          <w:szCs w:val="20"/>
          <w:lang w:val="en-US" w:eastAsia="en-US" w:bidi="en-US"/>
        </w:rPr>
        <w:t>design</w:t>
      </w:r>
      <w:r w:rsidRPr="005B326F">
        <w:rPr>
          <w:rFonts w:eastAsia="SimSun" w:hint="eastAsia"/>
          <w:i/>
          <w:iCs/>
          <w:noProof/>
          <w:snapToGrid w:val="0"/>
          <w:color w:val="000000"/>
          <w:sz w:val="20"/>
          <w:szCs w:val="20"/>
          <w:lang w:val="en-US" w:eastAsia="zh-CN" w:bidi="en-US"/>
        </w:rPr>
        <w:t xml:space="preserve"> </w:t>
      </w:r>
      <w:r w:rsidRPr="005B326F">
        <w:rPr>
          <w:rFonts w:eastAsia="Calibri"/>
          <w:i/>
          <w:iCs/>
          <w:noProof/>
          <w:snapToGrid w:val="0"/>
          <w:color w:val="000000"/>
          <w:sz w:val="20"/>
          <w:szCs w:val="20"/>
          <w:lang w:val="en-US" w:eastAsia="en-US" w:bidi="en-US"/>
        </w:rPr>
        <w:t>of</w:t>
      </w:r>
      <w:r w:rsidRPr="005B326F">
        <w:rPr>
          <w:rFonts w:eastAsia="SimSun" w:hint="eastAsia"/>
          <w:i/>
          <w:iCs/>
          <w:noProof/>
          <w:snapToGrid w:val="0"/>
          <w:color w:val="000000"/>
          <w:sz w:val="20"/>
          <w:szCs w:val="20"/>
          <w:lang w:val="en-US" w:eastAsia="zh-CN" w:bidi="en-US"/>
        </w:rPr>
        <w:t xml:space="preserve"> </w:t>
      </w:r>
      <w:r w:rsidRPr="005B326F">
        <w:rPr>
          <w:rFonts w:eastAsia="Calibri"/>
          <w:i/>
          <w:iCs/>
          <w:noProof/>
          <w:snapToGrid w:val="0"/>
          <w:color w:val="000000"/>
          <w:sz w:val="20"/>
          <w:szCs w:val="20"/>
          <w:lang w:val="en-US" w:eastAsia="en-US" w:bidi="en-US"/>
        </w:rPr>
        <w:t>highway</w:t>
      </w:r>
      <w:r w:rsidRPr="005B326F">
        <w:rPr>
          <w:rFonts w:eastAsia="SimSun" w:hint="eastAsia"/>
          <w:i/>
          <w:iCs/>
          <w:noProof/>
          <w:snapToGrid w:val="0"/>
          <w:color w:val="000000"/>
          <w:sz w:val="20"/>
          <w:szCs w:val="20"/>
          <w:lang w:val="en-US" w:eastAsia="zh-CN" w:bidi="en-US"/>
        </w:rPr>
        <w:t xml:space="preserve"> </w:t>
      </w:r>
      <w:r w:rsidRPr="005B326F">
        <w:rPr>
          <w:rFonts w:eastAsia="Calibri"/>
          <w:i/>
          <w:iCs/>
          <w:noProof/>
          <w:snapToGrid w:val="0"/>
          <w:color w:val="000000"/>
          <w:sz w:val="20"/>
          <w:szCs w:val="20"/>
          <w:lang w:val="en-US" w:eastAsia="en-US" w:bidi="en-US"/>
        </w:rPr>
        <w:t>bridges,</w:t>
      </w:r>
      <w:r w:rsidRPr="005B326F">
        <w:rPr>
          <w:rFonts w:eastAsia="SimSun" w:hint="eastAsia"/>
          <w:i/>
          <w:iCs/>
          <w:noProof/>
          <w:snapToGrid w:val="0"/>
          <w:color w:val="000000"/>
          <w:sz w:val="20"/>
          <w:szCs w:val="20"/>
          <w:lang w:val="en-US" w:eastAsia="zh-CN" w:bidi="en-US"/>
        </w:rPr>
        <w:t xml:space="preserve"> </w:t>
      </w:r>
      <w:r w:rsidRPr="005B326F">
        <w:rPr>
          <w:rFonts w:eastAsia="Calibri"/>
          <w:i/>
          <w:iCs/>
          <w:noProof/>
          <w:snapToGrid w:val="0"/>
          <w:color w:val="000000"/>
          <w:sz w:val="20"/>
          <w:szCs w:val="20"/>
          <w:lang w:val="en-US" w:eastAsia="en-US" w:bidi="en-US"/>
        </w:rPr>
        <w:t>Beijing</w:t>
      </w:r>
      <w:r w:rsidRPr="005B326F">
        <w:rPr>
          <w:rFonts w:eastAsia="Calibri"/>
          <w:noProof/>
          <w:snapToGrid w:val="0"/>
          <w:color w:val="000000"/>
          <w:sz w:val="20"/>
          <w:szCs w:val="20"/>
          <w:lang w:val="en-US" w:eastAsia="en-US" w:bidi="en-US"/>
        </w:rPr>
        <w:t>.</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Rinaldin, G., Amadio, C., and Fragiacomo, M. (2017). “Effects of seismic sequences on structures with hysteretic or damped dissipative behaviour.” </w:t>
      </w:r>
      <w:r w:rsidRPr="005B326F">
        <w:rPr>
          <w:rFonts w:eastAsia="Calibri"/>
          <w:i/>
          <w:iCs/>
          <w:noProof/>
          <w:snapToGrid w:val="0"/>
          <w:color w:val="000000"/>
          <w:sz w:val="20"/>
          <w:szCs w:val="20"/>
          <w:lang w:val="en-US" w:eastAsia="en-US" w:bidi="en-US"/>
        </w:rPr>
        <w:t>Soil Dynamics and Earthquake Engineering</w:t>
      </w:r>
      <w:r w:rsidRPr="005B326F">
        <w:rPr>
          <w:rFonts w:eastAsia="Calibri"/>
          <w:noProof/>
          <w:snapToGrid w:val="0"/>
          <w:color w:val="000000"/>
          <w:sz w:val="20"/>
          <w:szCs w:val="20"/>
          <w:lang w:val="en-US" w:eastAsia="en-US" w:bidi="en-US"/>
        </w:rPr>
        <w:t>, 97, 205–215.</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Shen, X., Camara, A., and Ye, A. (2015). “Effects of seismic devices on transverse responses of piers in the Sutong Bridge.” </w:t>
      </w:r>
      <w:r w:rsidRPr="005B326F">
        <w:rPr>
          <w:rFonts w:eastAsia="Calibri"/>
          <w:i/>
          <w:iCs/>
          <w:noProof/>
          <w:snapToGrid w:val="0"/>
          <w:color w:val="000000"/>
          <w:sz w:val="20"/>
          <w:szCs w:val="20"/>
          <w:lang w:val="en-US" w:eastAsia="en-US" w:bidi="en-US"/>
        </w:rPr>
        <w:t>Earthquake Engineering and Engineering Vibration</w:t>
      </w:r>
      <w:r w:rsidRPr="005B326F">
        <w:rPr>
          <w:rFonts w:eastAsia="Calibri"/>
          <w:noProof/>
          <w:snapToGrid w:val="0"/>
          <w:color w:val="000000"/>
          <w:sz w:val="20"/>
          <w:szCs w:val="20"/>
          <w:lang w:val="en-US" w:eastAsia="en-US" w:bidi="en-US"/>
        </w:rPr>
        <w:t>, 14(4), 611–623.</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Shen, X., Wang, X., Ye, Q., and Ye, A. (2017). “Seismic performance of Transverse Steel Damper seismic system for long span bridges.” </w:t>
      </w:r>
      <w:r w:rsidRPr="005B326F">
        <w:rPr>
          <w:rFonts w:eastAsia="Calibri"/>
          <w:i/>
          <w:iCs/>
          <w:noProof/>
          <w:snapToGrid w:val="0"/>
          <w:color w:val="000000"/>
          <w:sz w:val="20"/>
          <w:szCs w:val="20"/>
          <w:lang w:val="en-US" w:eastAsia="en-US" w:bidi="en-US"/>
        </w:rPr>
        <w:t>Engineering Structures</w:t>
      </w:r>
      <w:r w:rsidRPr="005B326F">
        <w:rPr>
          <w:rFonts w:eastAsia="Calibri"/>
          <w:noProof/>
          <w:snapToGrid w:val="0"/>
          <w:color w:val="000000"/>
          <w:sz w:val="20"/>
          <w:szCs w:val="20"/>
          <w:lang w:val="en-US" w:eastAsia="en-US" w:bidi="en-US"/>
        </w:rPr>
        <w:t>, 141, 14–28.</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Soneji, B. B., and Jangid, R. S. (2007). “Passive hybrid systems for earthquake protection of cable-stayed bridge.” </w:t>
      </w:r>
      <w:r w:rsidRPr="005B326F">
        <w:rPr>
          <w:rFonts w:eastAsia="Calibri"/>
          <w:i/>
          <w:iCs/>
          <w:noProof/>
          <w:snapToGrid w:val="0"/>
          <w:color w:val="000000"/>
          <w:sz w:val="20"/>
          <w:szCs w:val="20"/>
          <w:lang w:val="en-US" w:eastAsia="en-US" w:bidi="en-US"/>
        </w:rPr>
        <w:t>Engineering Structures</w:t>
      </w:r>
      <w:r w:rsidRPr="005B326F">
        <w:rPr>
          <w:rFonts w:eastAsia="Calibri"/>
          <w:noProof/>
          <w:snapToGrid w:val="0"/>
          <w:color w:val="000000"/>
          <w:sz w:val="20"/>
          <w:szCs w:val="20"/>
          <w:lang w:val="en-US" w:eastAsia="en-US" w:bidi="en-US"/>
        </w:rPr>
        <w:t>, 29(1), 57–70.</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Uchide, T., Horikawa, H., Nakai, M., Matsushita, R., Shigematsu, N., Ando, R., and Imanishi, K. (2016). “The 2016 Kumamoto–Oita earthquake sequence: aftershock seismicity gap and dynamic triggering in volcanic areas.” </w:t>
      </w:r>
      <w:r w:rsidRPr="005B326F">
        <w:rPr>
          <w:rFonts w:eastAsia="Calibri"/>
          <w:i/>
          <w:iCs/>
          <w:noProof/>
          <w:snapToGrid w:val="0"/>
          <w:color w:val="000000"/>
          <w:sz w:val="20"/>
          <w:szCs w:val="20"/>
          <w:lang w:val="en-US" w:eastAsia="en-US" w:bidi="en-US"/>
        </w:rPr>
        <w:t>Earth, Planets and Space</w:t>
      </w:r>
      <w:r w:rsidRPr="005B326F">
        <w:rPr>
          <w:rFonts w:eastAsia="Calibri"/>
          <w:noProof/>
          <w:snapToGrid w:val="0"/>
          <w:color w:val="000000"/>
          <w:sz w:val="20"/>
          <w:szCs w:val="20"/>
          <w:lang w:val="en-US" w:eastAsia="en-US" w:bidi="en-US"/>
        </w:rPr>
        <w:t>, Springer Berlin Heidelberg, 68(1), 180.</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Wang, H., Hu, R., Xie, J., Tong, T., and Li, A. (2013). “Comparative study on buffeting performance of Sutong Bridge based on design and measured spectrum.” </w:t>
      </w:r>
      <w:r w:rsidRPr="005B326F">
        <w:rPr>
          <w:rFonts w:eastAsia="Calibri"/>
          <w:i/>
          <w:iCs/>
          <w:noProof/>
          <w:snapToGrid w:val="0"/>
          <w:color w:val="000000"/>
          <w:sz w:val="20"/>
          <w:szCs w:val="20"/>
          <w:lang w:val="en-US" w:eastAsia="en-US" w:bidi="en-US"/>
        </w:rPr>
        <w:t>Journal of Bridge Engineering</w:t>
      </w:r>
      <w:r w:rsidRPr="005B326F">
        <w:rPr>
          <w:rFonts w:eastAsia="Calibri"/>
          <w:noProof/>
          <w:snapToGrid w:val="0"/>
          <w:color w:val="000000"/>
          <w:sz w:val="20"/>
          <w:szCs w:val="20"/>
          <w:lang w:val="en-US" w:eastAsia="en-US" w:bidi="en-US"/>
        </w:rPr>
        <w:t>, 18(7), 587–600.</w:t>
      </w:r>
    </w:p>
    <w:p w:rsidR="005B326F" w:rsidRPr="005B326F" w:rsidRDefault="005B326F" w:rsidP="005B326F">
      <w:pPr>
        <w:widowControl w:val="0"/>
        <w:spacing w:after="120" w:line="240" w:lineRule="auto"/>
        <w:jc w:val="both"/>
        <w:rPr>
          <w:rFonts w:eastAsia="Calibri"/>
          <w:noProof/>
          <w:snapToGrid w:val="0"/>
          <w:color w:val="000000"/>
          <w:sz w:val="20"/>
          <w:szCs w:val="20"/>
          <w:lang w:val="en-US" w:eastAsia="en-US" w:bidi="en-US"/>
        </w:rPr>
      </w:pPr>
      <w:r w:rsidRPr="005B326F">
        <w:rPr>
          <w:rFonts w:eastAsia="Calibri"/>
          <w:noProof/>
          <w:snapToGrid w:val="0"/>
          <w:color w:val="000000"/>
          <w:sz w:val="20"/>
          <w:szCs w:val="20"/>
          <w:lang w:val="en-US" w:eastAsia="en-US" w:bidi="en-US"/>
        </w:rPr>
        <w:t xml:space="preserve">Ye A, Hu S., F. L. (2004). “Seismic displacement control for super-long-span cable-stayed bridges.” </w:t>
      </w:r>
      <w:r w:rsidRPr="005B326F">
        <w:rPr>
          <w:rFonts w:eastAsia="Calibri"/>
          <w:i/>
          <w:iCs/>
          <w:noProof/>
          <w:snapToGrid w:val="0"/>
          <w:color w:val="000000"/>
          <w:sz w:val="20"/>
          <w:szCs w:val="20"/>
          <w:lang w:val="en-US" w:eastAsia="en-US" w:bidi="en-US"/>
        </w:rPr>
        <w:t>China Civil Engineering Journal</w:t>
      </w:r>
      <w:r w:rsidRPr="005B326F">
        <w:rPr>
          <w:rFonts w:eastAsia="Calibri"/>
          <w:noProof/>
          <w:snapToGrid w:val="0"/>
          <w:color w:val="000000"/>
          <w:sz w:val="20"/>
          <w:szCs w:val="20"/>
          <w:lang w:val="en-US" w:eastAsia="en-US" w:bidi="en-US"/>
        </w:rPr>
        <w:t>, 12(37), 38–43.</w:t>
      </w:r>
    </w:p>
    <w:p w:rsidR="005B326F" w:rsidRPr="005B326F" w:rsidRDefault="005B326F" w:rsidP="005B326F">
      <w:pPr>
        <w:widowControl w:val="0"/>
        <w:autoSpaceDE w:val="0"/>
        <w:autoSpaceDN w:val="0"/>
        <w:adjustRightInd w:val="0"/>
        <w:spacing w:after="0" w:line="240" w:lineRule="auto"/>
        <w:jc w:val="both"/>
        <w:rPr>
          <w:rFonts w:eastAsia="Times New Roman" w:cs="Calibri"/>
          <w:snapToGrid w:val="0"/>
          <w:sz w:val="20"/>
          <w:szCs w:val="24"/>
          <w:lang w:val="en-US" w:eastAsia="en-US"/>
        </w:rPr>
      </w:pPr>
      <w:r w:rsidRPr="005B326F">
        <w:rPr>
          <w:rFonts w:eastAsia="Times New Roman"/>
          <w:noProof/>
          <w:snapToGrid w:val="0"/>
          <w:sz w:val="20"/>
          <w:szCs w:val="24"/>
          <w:lang w:val="en-US" w:eastAsia="en-US"/>
        </w:rPr>
        <w:t xml:space="preserve">Zhou, L., Wang, X., and Ye, A. (2019). “Shake table test on transverse steel damper seismic system for long span cable-stayed bridges.” </w:t>
      </w:r>
      <w:r w:rsidRPr="005B326F">
        <w:rPr>
          <w:rFonts w:eastAsia="Times New Roman"/>
          <w:i/>
          <w:iCs/>
          <w:noProof/>
          <w:snapToGrid w:val="0"/>
          <w:sz w:val="20"/>
          <w:szCs w:val="24"/>
          <w:lang w:val="en-US" w:eastAsia="en-US"/>
        </w:rPr>
        <w:t>Engineering Structures</w:t>
      </w:r>
      <w:r w:rsidRPr="005B326F">
        <w:rPr>
          <w:rFonts w:eastAsia="Times New Roman"/>
          <w:noProof/>
          <w:snapToGrid w:val="0"/>
          <w:sz w:val="20"/>
          <w:szCs w:val="24"/>
          <w:lang w:val="en-US" w:eastAsia="en-US"/>
        </w:rPr>
        <w:t>.</w:t>
      </w:r>
    </w:p>
    <w:p w:rsidR="006B3BBD" w:rsidRPr="0013217D" w:rsidRDefault="006B3BBD" w:rsidP="0013217D">
      <w:pPr>
        <w:spacing w:line="240" w:lineRule="auto"/>
        <w:jc w:val="both"/>
      </w:pPr>
    </w:p>
    <w:sectPr w:rsidR="006B3BBD" w:rsidRPr="0013217D" w:rsidSect="005B326F">
      <w:headerReference w:type="default" r:id="rId26"/>
      <w:footerReference w:type="default" r:id="rId27"/>
      <w:headerReference w:type="first" r:id="rId28"/>
      <w:footerReference w:type="first" r:id="rId29"/>
      <w:pgSz w:w="11906" w:h="16838"/>
      <w:pgMar w:top="1418" w:right="1134" w:bottom="1418" w:left="1134" w:header="709" w:footer="709" w:gutter="0"/>
      <w:pgNumType w:start="5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CE1" w:rsidRDefault="00A73CE1" w:rsidP="0013217D">
      <w:pPr>
        <w:spacing w:after="0" w:line="240" w:lineRule="auto"/>
      </w:pPr>
      <w:r>
        <w:separator/>
      </w:r>
    </w:p>
  </w:endnote>
  <w:endnote w:type="continuationSeparator" w:id="0">
    <w:p w:rsidR="00A73CE1" w:rsidRDefault="00A73CE1"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harisSIL">
    <w:altName w:val="Microsoft YaHei"/>
    <w:panose1 w:val="00000000000000000000"/>
    <w:charset w:val="86"/>
    <w:family w:val="swiss"/>
    <w:notTrueType/>
    <w:pitch w:val="default"/>
    <w:sig w:usb0="00000000"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619194"/>
      <w:docPartObj>
        <w:docPartGallery w:val="Page Numbers (Bottom of Page)"/>
        <w:docPartUnique/>
      </w:docPartObj>
    </w:sdtPr>
    <w:sdtEndPr/>
    <w:sdtContent>
      <w:p w:rsidR="005B326F" w:rsidRDefault="005B326F">
        <w:pPr>
          <w:pStyle w:val="a5"/>
          <w:jc w:val="center"/>
        </w:pPr>
        <w:r>
          <w:fldChar w:fldCharType="begin"/>
        </w:r>
        <w:r>
          <w:instrText>PAGE   \* MERGEFORMAT</w:instrText>
        </w:r>
        <w:r>
          <w:fldChar w:fldCharType="separate"/>
        </w:r>
        <w:r w:rsidR="000A00B1">
          <w:rPr>
            <w:noProof/>
          </w:rPr>
          <w:t>51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672349"/>
      <w:docPartObj>
        <w:docPartGallery w:val="Page Numbers (Bottom of Page)"/>
        <w:docPartUnique/>
      </w:docPartObj>
    </w:sdtPr>
    <w:sdtEndPr/>
    <w:sdtContent>
      <w:p w:rsidR="005B326F" w:rsidRDefault="005B326F">
        <w:pPr>
          <w:pStyle w:val="a5"/>
          <w:jc w:val="center"/>
        </w:pPr>
        <w:r>
          <w:fldChar w:fldCharType="begin"/>
        </w:r>
        <w:r>
          <w:instrText>PAGE   \* MERGEFORMAT</w:instrText>
        </w:r>
        <w:r>
          <w:fldChar w:fldCharType="separate"/>
        </w:r>
        <w:r w:rsidR="000A00B1">
          <w:rPr>
            <w:noProof/>
          </w:rPr>
          <w:t>50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CE1" w:rsidRDefault="00A73CE1" w:rsidP="0013217D">
      <w:pPr>
        <w:spacing w:after="0" w:line="240" w:lineRule="auto"/>
      </w:pPr>
      <w:r>
        <w:separator/>
      </w:r>
    </w:p>
  </w:footnote>
  <w:footnote w:type="continuationSeparator" w:id="0">
    <w:p w:rsidR="00A73CE1" w:rsidRDefault="00A73CE1" w:rsidP="0013217D">
      <w:pPr>
        <w:spacing w:after="0" w:line="240" w:lineRule="auto"/>
      </w:pPr>
      <w:r>
        <w:continuationSeparator/>
      </w:r>
    </w:p>
  </w:footnote>
  <w:footnote w:id="1">
    <w:p w:rsidR="005B326F" w:rsidRPr="005B326F" w:rsidRDefault="005B326F" w:rsidP="005B326F">
      <w:pPr>
        <w:pStyle w:val="a9"/>
        <w:rPr>
          <w:lang w:val="en-US"/>
        </w:rPr>
      </w:pPr>
      <w:r>
        <w:rPr>
          <w:rStyle w:val="ad"/>
        </w:rPr>
        <w:footnoteRef/>
      </w:r>
      <w:r w:rsidRPr="005B326F">
        <w:rPr>
          <w:lang w:val="en-US"/>
        </w:rPr>
        <w:t xml:space="preserve"> </w:t>
      </w:r>
      <w:r w:rsidRPr="005B326F">
        <w:rPr>
          <w:rStyle w:val="ac"/>
          <w:lang w:val="en-US"/>
        </w:rPr>
        <w:t xml:space="preserve">Professor, State Key Laboratory of Disaster Reduction in Civil Engineering, Tongji University, Shanghai, China, </w:t>
      </w:r>
      <w:r w:rsidRPr="005B326F">
        <w:rPr>
          <w:rStyle w:val="1"/>
          <w:lang w:val="en-US"/>
        </w:rPr>
        <w:t>yeaijun@tongji.edu.cn</w:t>
      </w:r>
    </w:p>
  </w:footnote>
  <w:footnote w:id="2">
    <w:p w:rsidR="005B326F" w:rsidRPr="005B326F" w:rsidRDefault="005B326F" w:rsidP="005B326F">
      <w:pPr>
        <w:pStyle w:val="ab"/>
        <w:rPr>
          <w:lang w:val="en-US"/>
        </w:rPr>
      </w:pPr>
      <w:r>
        <w:rPr>
          <w:rStyle w:val="ad"/>
        </w:rPr>
        <w:footnoteRef/>
      </w:r>
      <w:r w:rsidRPr="005B326F">
        <w:rPr>
          <w:lang w:val="en-US"/>
        </w:rPr>
        <w:t xml:space="preserve"> Ph.D. Candidate, Department of Civil Engineering, Tongji University, Shanghai, China, </w:t>
      </w:r>
      <w:r w:rsidRPr="005B326F">
        <w:rPr>
          <w:rStyle w:val="1"/>
          <w:lang w:val="en-US"/>
        </w:rPr>
        <w:t>csuzlx@ tongji.edu.cn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00E915A5" wp14:editId="08EFF9BE">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A780D"/>
    <w:multiLevelType w:val="hybridMultilevel"/>
    <w:tmpl w:val="6DDE8030"/>
    <w:lvl w:ilvl="0" w:tplc="DA7A1A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26F"/>
    <w:rsid w:val="000A00B1"/>
    <w:rsid w:val="000D7B9B"/>
    <w:rsid w:val="0013217D"/>
    <w:rsid w:val="00254B4D"/>
    <w:rsid w:val="005B326F"/>
    <w:rsid w:val="006323CD"/>
    <w:rsid w:val="006B3BBD"/>
    <w:rsid w:val="0092552E"/>
    <w:rsid w:val="009267EB"/>
    <w:rsid w:val="00A73CE1"/>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5B326F"/>
    <w:pPr>
      <w:spacing w:after="0" w:line="240" w:lineRule="auto"/>
    </w:pPr>
    <w:rPr>
      <w:sz w:val="20"/>
      <w:szCs w:val="20"/>
    </w:rPr>
  </w:style>
  <w:style w:type="character" w:customStyle="1" w:styleId="aa">
    <w:name w:val="Текст концевой сноски Знак"/>
    <w:basedOn w:val="a0"/>
    <w:link w:val="a9"/>
    <w:uiPriority w:val="99"/>
    <w:semiHidden/>
    <w:rsid w:val="005B326F"/>
    <w:rPr>
      <w:sz w:val="20"/>
      <w:szCs w:val="20"/>
    </w:rPr>
  </w:style>
  <w:style w:type="paragraph" w:styleId="ab">
    <w:name w:val="footnote text"/>
    <w:basedOn w:val="a"/>
    <w:link w:val="ac"/>
    <w:uiPriority w:val="99"/>
    <w:semiHidden/>
    <w:unhideWhenUsed/>
    <w:rsid w:val="005B326F"/>
    <w:pPr>
      <w:spacing w:after="0" w:line="240" w:lineRule="auto"/>
    </w:pPr>
    <w:rPr>
      <w:sz w:val="20"/>
      <w:szCs w:val="20"/>
    </w:rPr>
  </w:style>
  <w:style w:type="character" w:customStyle="1" w:styleId="ac">
    <w:name w:val="Текст сноски Знак"/>
    <w:basedOn w:val="a0"/>
    <w:link w:val="ab"/>
    <w:rsid w:val="005B326F"/>
    <w:rPr>
      <w:sz w:val="20"/>
      <w:szCs w:val="20"/>
    </w:rPr>
  </w:style>
  <w:style w:type="character" w:styleId="ad">
    <w:name w:val="footnote reference"/>
    <w:basedOn w:val="a0"/>
    <w:semiHidden/>
    <w:rsid w:val="005B326F"/>
    <w:rPr>
      <w:rFonts w:ascii="Times New Roman" w:hAnsi="Times New Roman"/>
      <w:sz w:val="22"/>
      <w:vertAlign w:val="superscript"/>
    </w:rPr>
  </w:style>
  <w:style w:type="character" w:customStyle="1" w:styleId="1">
    <w:name w:val="Гиперссылка1"/>
    <w:basedOn w:val="a0"/>
    <w:rsid w:val="005B326F"/>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5B326F"/>
    <w:pPr>
      <w:spacing w:after="0" w:line="240" w:lineRule="auto"/>
    </w:pPr>
    <w:rPr>
      <w:sz w:val="20"/>
      <w:szCs w:val="20"/>
    </w:rPr>
  </w:style>
  <w:style w:type="character" w:customStyle="1" w:styleId="aa">
    <w:name w:val="Текст концевой сноски Знак"/>
    <w:basedOn w:val="a0"/>
    <w:link w:val="a9"/>
    <w:uiPriority w:val="99"/>
    <w:semiHidden/>
    <w:rsid w:val="005B326F"/>
    <w:rPr>
      <w:sz w:val="20"/>
      <w:szCs w:val="20"/>
    </w:rPr>
  </w:style>
  <w:style w:type="paragraph" w:styleId="ab">
    <w:name w:val="footnote text"/>
    <w:basedOn w:val="a"/>
    <w:link w:val="ac"/>
    <w:uiPriority w:val="99"/>
    <w:semiHidden/>
    <w:unhideWhenUsed/>
    <w:rsid w:val="005B326F"/>
    <w:pPr>
      <w:spacing w:after="0" w:line="240" w:lineRule="auto"/>
    </w:pPr>
    <w:rPr>
      <w:sz w:val="20"/>
      <w:szCs w:val="20"/>
    </w:rPr>
  </w:style>
  <w:style w:type="character" w:customStyle="1" w:styleId="ac">
    <w:name w:val="Текст сноски Знак"/>
    <w:basedOn w:val="a0"/>
    <w:link w:val="ab"/>
    <w:rsid w:val="005B326F"/>
    <w:rPr>
      <w:sz w:val="20"/>
      <w:szCs w:val="20"/>
    </w:rPr>
  </w:style>
  <w:style w:type="character" w:styleId="ad">
    <w:name w:val="footnote reference"/>
    <w:basedOn w:val="a0"/>
    <w:semiHidden/>
    <w:rsid w:val="005B326F"/>
    <w:rPr>
      <w:rFonts w:ascii="Times New Roman" w:hAnsi="Times New Roman"/>
      <w:sz w:val="22"/>
      <w:vertAlign w:val="superscript"/>
    </w:rPr>
  </w:style>
  <w:style w:type="character" w:customStyle="1" w:styleId="1">
    <w:name w:val="Гиперссылка1"/>
    <w:basedOn w:val="a0"/>
    <w:rsid w:val="005B326F"/>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8924</Words>
  <Characters>50869</Characters>
  <Application>Microsoft Office Word</Application>
  <DocSecurity>0</DocSecurity>
  <Lines>423</Lines>
  <Paragraphs>119</Paragraphs>
  <ScaleCrop>false</ScaleCrop>
  <Company>diakov.net</Company>
  <LinksUpToDate>false</LinksUpToDate>
  <CharactersWithSpaces>59674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2020-06-28T13:44:00Z</dcterms:created>
  <dcterms:modified xsi:type="dcterms:W3CDTF">2021-05-12T15:14:00Z</dcterms:modified>
</cp:coreProperties>
</file>