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FCD" w:rsidRPr="00183FCD" w:rsidRDefault="00183FCD" w:rsidP="00183FCD">
      <w:pPr>
        <w:widowControl w:val="0"/>
        <w:spacing w:after="0" w:line="240" w:lineRule="auto"/>
        <w:jc w:val="center"/>
        <w:outlineLvl w:val="0"/>
        <w:rPr>
          <w:rFonts w:eastAsia="Calibri"/>
          <w:b/>
          <w:caps/>
          <w:snapToGrid w:val="0"/>
          <w:sz w:val="28"/>
          <w:szCs w:val="24"/>
          <w:lang w:val="en-US" w:eastAsia="en-US"/>
        </w:rPr>
      </w:pPr>
      <w:bookmarkStart w:id="0" w:name="_GoBack"/>
      <w:bookmarkEnd w:id="0"/>
    </w:p>
    <w:p w:rsidR="00183FCD" w:rsidRPr="00183FCD" w:rsidRDefault="00183FCD" w:rsidP="00183FCD">
      <w:pPr>
        <w:widowControl w:val="0"/>
        <w:spacing w:after="0" w:line="240" w:lineRule="auto"/>
        <w:jc w:val="center"/>
        <w:outlineLvl w:val="0"/>
        <w:rPr>
          <w:rFonts w:eastAsia="Times New Roman"/>
          <w:b/>
          <w:caps/>
          <w:snapToGrid w:val="0"/>
          <w:sz w:val="28"/>
          <w:szCs w:val="24"/>
          <w:lang w:val="en-US" w:eastAsia="en-US"/>
        </w:rPr>
      </w:pPr>
      <w:r w:rsidRPr="00183FCD">
        <w:rPr>
          <w:rFonts w:eastAsia="Times New Roman"/>
          <w:b/>
          <w:caps/>
          <w:snapToGrid w:val="0"/>
          <w:sz w:val="28"/>
          <w:szCs w:val="24"/>
          <w:lang w:val="en-US" w:eastAsia="en-US"/>
        </w:rPr>
        <w:t>PRELIMINARY NONLINEAR ANALYSES OF POST-TENSIONED TIMBER FRAMED BUILDING WITH DISSIPATIVE BRACING SYSTEMS</w:t>
      </w:r>
    </w:p>
    <w:p w:rsidR="00183FCD" w:rsidRPr="00183FCD" w:rsidRDefault="00183FCD" w:rsidP="00183FCD">
      <w:pPr>
        <w:widowControl w:val="0"/>
        <w:suppressAutoHyphens/>
        <w:spacing w:after="0" w:line="240" w:lineRule="auto"/>
        <w:jc w:val="both"/>
        <w:rPr>
          <w:rFonts w:eastAsia="Times New Roman"/>
          <w:snapToGrid w:val="0"/>
          <w:szCs w:val="24"/>
          <w:lang w:val="en-US" w:eastAsia="en-US"/>
        </w:rPr>
      </w:pPr>
    </w:p>
    <w:p w:rsidR="00183FCD" w:rsidRPr="00183FCD" w:rsidRDefault="00183FCD" w:rsidP="00183FCD">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183FCD">
        <w:rPr>
          <w:rFonts w:eastAsia="Times New Roman"/>
          <w:b/>
          <w:snapToGrid w:val="0"/>
          <w:color w:val="333333"/>
          <w:sz w:val="28"/>
          <w:szCs w:val="28"/>
          <w:shd w:val="clear" w:color="auto" w:fill="FFFFFF"/>
          <w:lang w:val="en-US" w:eastAsia="en-US"/>
        </w:rPr>
        <w:t xml:space="preserve">DOI </w:t>
      </w:r>
      <w:r w:rsidR="00176434">
        <w:rPr>
          <w:rFonts w:eastAsia="Times New Roman"/>
          <w:b/>
          <w:snapToGrid w:val="0"/>
          <w:color w:val="333333"/>
          <w:sz w:val="28"/>
          <w:szCs w:val="28"/>
          <w:shd w:val="clear" w:color="auto" w:fill="FFFFFF"/>
          <w:lang w:val="en-US" w:eastAsia="en-US"/>
        </w:rPr>
        <w:t>10.37153</w:t>
      </w:r>
      <w:r w:rsidRPr="00183FCD">
        <w:rPr>
          <w:rFonts w:eastAsia="Times New Roman"/>
          <w:b/>
          <w:snapToGrid w:val="0"/>
          <w:color w:val="333333"/>
          <w:sz w:val="28"/>
          <w:szCs w:val="28"/>
          <w:shd w:val="clear" w:color="auto" w:fill="FFFFFF"/>
          <w:lang w:val="en-US" w:eastAsia="en-US"/>
        </w:rPr>
        <w:t>/2686-7974-2019-16-210-217</w:t>
      </w:r>
    </w:p>
    <w:p w:rsidR="00183FCD" w:rsidRPr="00183FCD" w:rsidRDefault="00183FCD" w:rsidP="00183FCD">
      <w:pPr>
        <w:widowControl w:val="0"/>
        <w:suppressAutoHyphens/>
        <w:spacing w:after="0" w:line="240" w:lineRule="auto"/>
        <w:jc w:val="both"/>
        <w:rPr>
          <w:rFonts w:eastAsia="Times New Roman"/>
          <w:snapToGrid w:val="0"/>
          <w:szCs w:val="24"/>
          <w:lang w:val="en-US" w:eastAsia="en-US"/>
        </w:rPr>
      </w:pPr>
    </w:p>
    <w:p w:rsidR="00183FCD" w:rsidRPr="00183FCD" w:rsidRDefault="00183FCD" w:rsidP="00183FCD">
      <w:pPr>
        <w:widowControl w:val="0"/>
        <w:tabs>
          <w:tab w:val="left" w:pos="0"/>
        </w:tabs>
        <w:suppressAutoHyphens/>
        <w:spacing w:after="0" w:line="240" w:lineRule="auto"/>
        <w:jc w:val="center"/>
        <w:rPr>
          <w:rFonts w:eastAsia="Times New Roman"/>
          <w:szCs w:val="24"/>
          <w:lang w:val="it-IT" w:eastAsia="en-US"/>
        </w:rPr>
      </w:pPr>
      <w:r w:rsidRPr="00183FCD">
        <w:rPr>
          <w:rFonts w:eastAsia="Times New Roman"/>
          <w:szCs w:val="24"/>
          <w:lang w:val="it-IT" w:eastAsia="en-US"/>
        </w:rPr>
        <w:t>Antonio DI CESARE</w:t>
      </w:r>
      <w:r w:rsidRPr="00183FCD">
        <w:rPr>
          <w:rFonts w:eastAsia="Times New Roman"/>
          <w:szCs w:val="24"/>
          <w:vertAlign w:val="superscript"/>
          <w:lang w:val="en-US" w:eastAsia="en-US"/>
        </w:rPr>
        <w:footnoteReference w:id="1"/>
      </w:r>
      <w:r w:rsidRPr="00183FCD">
        <w:rPr>
          <w:rFonts w:eastAsia="Times New Roman"/>
          <w:szCs w:val="24"/>
          <w:lang w:val="it-IT" w:eastAsia="en-US"/>
        </w:rPr>
        <w:t>, Felice Carlo PONZO</w:t>
      </w:r>
      <w:r w:rsidRPr="00183FCD">
        <w:rPr>
          <w:rFonts w:eastAsia="Times New Roman"/>
          <w:szCs w:val="24"/>
          <w:vertAlign w:val="superscript"/>
          <w:lang w:val="en-US" w:eastAsia="en-US"/>
        </w:rPr>
        <w:footnoteReference w:id="2"/>
      </w:r>
      <w:r w:rsidRPr="00183FCD">
        <w:rPr>
          <w:rFonts w:eastAsia="Times New Roman"/>
          <w:szCs w:val="24"/>
          <w:lang w:val="it-IT" w:eastAsia="en-US"/>
        </w:rPr>
        <w:t>, Nicla LAMARUCCIOLA</w:t>
      </w:r>
      <w:r w:rsidRPr="00183FCD">
        <w:rPr>
          <w:rFonts w:eastAsia="Times New Roman"/>
          <w:szCs w:val="24"/>
          <w:vertAlign w:val="superscript"/>
          <w:lang w:val="en-US" w:eastAsia="en-US"/>
        </w:rPr>
        <w:footnoteReference w:id="3"/>
      </w:r>
      <w:r w:rsidRPr="00183FCD">
        <w:rPr>
          <w:rFonts w:eastAsia="Times New Roman"/>
          <w:szCs w:val="24"/>
          <w:lang w:val="it-IT" w:eastAsia="en-US"/>
        </w:rPr>
        <w:t>, Domenico NIGRO</w:t>
      </w:r>
      <w:r w:rsidRPr="00183FCD">
        <w:rPr>
          <w:rFonts w:eastAsia="Times New Roman"/>
          <w:szCs w:val="24"/>
          <w:vertAlign w:val="superscript"/>
          <w:lang w:val="en-US" w:eastAsia="en-US"/>
        </w:rPr>
        <w:footnoteReference w:id="4"/>
      </w:r>
    </w:p>
    <w:p w:rsidR="00183FCD" w:rsidRPr="00183FCD" w:rsidRDefault="00183FCD" w:rsidP="00183FCD">
      <w:pPr>
        <w:widowControl w:val="0"/>
        <w:tabs>
          <w:tab w:val="left" w:pos="0"/>
        </w:tabs>
        <w:suppressAutoHyphens/>
        <w:spacing w:after="0" w:line="240" w:lineRule="auto"/>
        <w:jc w:val="center"/>
        <w:rPr>
          <w:rFonts w:eastAsia="Times New Roman"/>
          <w:snapToGrid w:val="0"/>
          <w:szCs w:val="24"/>
          <w:lang w:val="it-IT" w:eastAsia="en-US"/>
        </w:rPr>
      </w:pPr>
    </w:p>
    <w:p w:rsidR="00183FCD" w:rsidRPr="00183FCD" w:rsidRDefault="00183FCD" w:rsidP="00183FCD">
      <w:pPr>
        <w:widowControl w:val="0"/>
        <w:spacing w:after="0" w:line="240" w:lineRule="auto"/>
        <w:jc w:val="center"/>
        <w:outlineLvl w:val="0"/>
        <w:rPr>
          <w:rFonts w:eastAsia="Times New Roman"/>
          <w:b/>
          <w:caps/>
          <w:snapToGrid w:val="0"/>
          <w:kern w:val="28"/>
          <w:szCs w:val="24"/>
          <w:lang w:val="en-US" w:eastAsia="en-US"/>
        </w:rPr>
      </w:pPr>
      <w:r w:rsidRPr="00183FCD">
        <w:rPr>
          <w:rFonts w:eastAsia="Times New Roman"/>
          <w:b/>
          <w:caps/>
          <w:snapToGrid w:val="0"/>
          <w:kern w:val="28"/>
          <w:szCs w:val="24"/>
          <w:lang w:val="en-US" w:eastAsia="en-US"/>
        </w:rPr>
        <w:t>ABSTRACT</w:t>
      </w:r>
    </w:p>
    <w:p w:rsidR="00183FCD" w:rsidRPr="00183FCD" w:rsidRDefault="00183FCD" w:rsidP="00183FCD">
      <w:pPr>
        <w:widowControl w:val="0"/>
        <w:suppressAutoHyphens/>
        <w:spacing w:after="0" w:line="240" w:lineRule="auto"/>
        <w:jc w:val="both"/>
        <w:rPr>
          <w:rFonts w:eastAsia="Times New Roman"/>
          <w:sz w:val="20"/>
          <w:szCs w:val="24"/>
          <w:lang w:val="en-US" w:eastAsia="en-US"/>
        </w:rPr>
      </w:pPr>
    </w:p>
    <w:p w:rsidR="00183FCD" w:rsidRPr="00183FCD" w:rsidRDefault="00183FCD" w:rsidP="00183FCD">
      <w:pPr>
        <w:widowControl w:val="0"/>
        <w:suppressAutoHyphens/>
        <w:spacing w:after="0" w:line="240" w:lineRule="auto"/>
        <w:jc w:val="both"/>
        <w:rPr>
          <w:rFonts w:eastAsia="Times New Roman"/>
          <w:sz w:val="20"/>
          <w:szCs w:val="20"/>
          <w:lang w:val="en-GB" w:eastAsia="en-US"/>
        </w:rPr>
      </w:pPr>
      <w:r w:rsidRPr="00183FCD">
        <w:rPr>
          <w:rFonts w:eastAsia="Times New Roman"/>
          <w:sz w:val="20"/>
          <w:szCs w:val="20"/>
          <w:lang w:val="en-US" w:eastAsia="en-US"/>
        </w:rPr>
        <w:t xml:space="preserve">Self-centering rocking mechanisms combined with dissipative bracing systems is a passive control technology that can prevent structural and non-structural damages and minimize residual drifts during strong earthquakes. </w:t>
      </w:r>
      <w:r w:rsidRPr="00183FCD">
        <w:rPr>
          <w:rFonts w:eastAsia="Times New Roman"/>
          <w:sz w:val="20"/>
          <w:szCs w:val="20"/>
          <w:lang w:val="en-GB" w:eastAsia="en-US"/>
        </w:rPr>
        <w:t>A shaking table campaign has been performed on a 2/3 scaled, 3-dimensional, 3-storey post-tensioned timber framed (Pres-Lam) building with dissipative bracing systems</w:t>
      </w:r>
      <w:r w:rsidRPr="00183FCD">
        <w:rPr>
          <w:rFonts w:eastAsia="Times New Roman"/>
          <w:sz w:val="20"/>
          <w:szCs w:val="20"/>
          <w:lang w:val="en-US" w:eastAsia="en-US"/>
        </w:rPr>
        <w:t xml:space="preserve"> a</w:t>
      </w:r>
      <w:r w:rsidRPr="00183FCD">
        <w:rPr>
          <w:rFonts w:eastAsia="Times New Roman"/>
          <w:sz w:val="20"/>
          <w:szCs w:val="20"/>
          <w:lang w:val="en-GB" w:eastAsia="en-US"/>
        </w:rPr>
        <w:t xml:space="preserve">t the structural laboratory of the University of Basilicata. </w:t>
      </w:r>
      <w:r w:rsidRPr="00183FCD">
        <w:rPr>
          <w:rFonts w:eastAsia="Times New Roman"/>
          <w:sz w:val="20"/>
          <w:szCs w:val="20"/>
          <w:lang w:val="en-US" w:eastAsia="en-US"/>
        </w:rPr>
        <w:t>The test structure has been subjected to ground motions scaled to various intensities</w:t>
      </w:r>
      <w:r w:rsidRPr="00183FCD">
        <w:rPr>
          <w:rFonts w:eastAsia="Times New Roman"/>
          <w:sz w:val="20"/>
          <w:szCs w:val="20"/>
          <w:lang w:val="en-GB" w:eastAsia="en-US"/>
        </w:rPr>
        <w:t xml:space="preserve">. In this study a numerical provisional model of the Pres-Lam braced structure has been developed based on lumped plasticity approach. This paper focuses on preliminary results of nonlinear dynamic analyses of a selected ground motion at 25% and 100% of PGA levels that correspond to a </w:t>
      </w:r>
      <w:r w:rsidRPr="00183FCD">
        <w:rPr>
          <w:rFonts w:eastAsia="Times New Roman"/>
          <w:sz w:val="20"/>
          <w:szCs w:val="20"/>
          <w:lang w:val="en-US" w:eastAsia="en-US"/>
        </w:rPr>
        <w:t>Service Level Earthquake (SLE) and a Design Base Earthquake (DBE)</w:t>
      </w:r>
      <w:r w:rsidRPr="00183FCD">
        <w:rPr>
          <w:rFonts w:eastAsia="Times New Roman"/>
          <w:sz w:val="20"/>
          <w:szCs w:val="20"/>
          <w:lang w:val="en-GB" w:eastAsia="en-US"/>
        </w:rPr>
        <w:t xml:space="preserve">. Numerical outcomes have been compared </w:t>
      </w:r>
      <w:r w:rsidRPr="00183FCD">
        <w:rPr>
          <w:rFonts w:eastAsia="Times New Roman"/>
          <w:sz w:val="20"/>
          <w:szCs w:val="20"/>
          <w:lang w:val="en-US" w:eastAsia="en-US"/>
        </w:rPr>
        <w:t xml:space="preserve">with shaking table test results, </w:t>
      </w:r>
      <w:r w:rsidRPr="00183FCD">
        <w:rPr>
          <w:rFonts w:eastAsia="Times New Roman"/>
          <w:sz w:val="20"/>
          <w:szCs w:val="20"/>
          <w:lang w:val="en-GB" w:eastAsia="en-US"/>
        </w:rPr>
        <w:t>providing</w:t>
      </w:r>
      <w:r w:rsidRPr="00183FCD">
        <w:rPr>
          <w:rFonts w:eastAsia="Times New Roman"/>
          <w:sz w:val="20"/>
          <w:szCs w:val="20"/>
          <w:lang w:val="en-US" w:eastAsia="en-US"/>
        </w:rPr>
        <w:t xml:space="preserve"> a suitable representation of the global and local seismic response</w:t>
      </w:r>
      <w:r w:rsidRPr="00183FCD">
        <w:rPr>
          <w:rFonts w:eastAsia="Times New Roman"/>
          <w:sz w:val="20"/>
          <w:szCs w:val="20"/>
          <w:lang w:val="en-GB" w:eastAsia="en-US"/>
        </w:rPr>
        <w:t xml:space="preserve">. </w:t>
      </w:r>
    </w:p>
    <w:p w:rsidR="00183FCD" w:rsidRPr="00183FCD" w:rsidRDefault="00183FCD" w:rsidP="00183FCD">
      <w:pPr>
        <w:widowControl w:val="0"/>
        <w:suppressAutoHyphens/>
        <w:spacing w:after="0" w:line="240" w:lineRule="auto"/>
        <w:jc w:val="both"/>
        <w:rPr>
          <w:rFonts w:eastAsia="Times New Roman"/>
          <w:sz w:val="20"/>
          <w:szCs w:val="24"/>
          <w:lang w:val="en-US" w:eastAsia="en-US"/>
        </w:rPr>
      </w:pPr>
    </w:p>
    <w:p w:rsidR="00183FCD" w:rsidRPr="00183FCD" w:rsidRDefault="00183FCD" w:rsidP="00183FCD">
      <w:pPr>
        <w:widowControl w:val="0"/>
        <w:suppressAutoHyphens/>
        <w:spacing w:after="0" w:line="240" w:lineRule="auto"/>
        <w:jc w:val="both"/>
        <w:rPr>
          <w:rFonts w:eastAsia="Times New Roman"/>
          <w:i/>
          <w:sz w:val="20"/>
          <w:szCs w:val="24"/>
          <w:lang w:val="en-US" w:eastAsia="en-US"/>
        </w:rPr>
      </w:pPr>
      <w:r w:rsidRPr="00183FCD">
        <w:rPr>
          <w:rFonts w:eastAsia="Times New Roman"/>
          <w:i/>
          <w:sz w:val="20"/>
          <w:szCs w:val="24"/>
          <w:lang w:val="en-US" w:eastAsia="en-US"/>
        </w:rPr>
        <w:t>Keywords: Post-tensioned timber framed buildings; Dissipative bracing systems; Shaking table tests; Non-linear dynamic analyses.</w:t>
      </w:r>
    </w:p>
    <w:p w:rsidR="00183FCD" w:rsidRPr="00183FCD" w:rsidRDefault="00183FCD" w:rsidP="00183FCD">
      <w:pPr>
        <w:widowControl w:val="0"/>
        <w:spacing w:after="0" w:line="240" w:lineRule="auto"/>
        <w:jc w:val="both"/>
        <w:rPr>
          <w:rFonts w:eastAsia="Times New Roman"/>
          <w:snapToGrid w:val="0"/>
          <w:szCs w:val="24"/>
          <w:lang w:val="en-US" w:eastAsia="en-US"/>
        </w:rPr>
      </w:pPr>
    </w:p>
    <w:p w:rsidR="00183FCD" w:rsidRPr="00183FCD" w:rsidRDefault="00183FCD" w:rsidP="00183FCD">
      <w:pPr>
        <w:widowControl w:val="0"/>
        <w:spacing w:after="0" w:line="240" w:lineRule="auto"/>
        <w:jc w:val="both"/>
        <w:rPr>
          <w:rFonts w:eastAsia="Times New Roman"/>
          <w:snapToGrid w:val="0"/>
          <w:szCs w:val="24"/>
          <w:lang w:val="en-US" w:eastAsia="en-US"/>
        </w:rPr>
      </w:pPr>
    </w:p>
    <w:p w:rsidR="00183FCD" w:rsidRPr="00183FCD" w:rsidRDefault="00183FCD" w:rsidP="00183FC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183FCD">
        <w:rPr>
          <w:rFonts w:eastAsia="Times New Roman"/>
          <w:b/>
          <w:caps/>
          <w:snapToGrid w:val="0"/>
          <w:szCs w:val="24"/>
          <w:lang w:val="en-US" w:eastAsia="en-US"/>
        </w:rPr>
        <w:t xml:space="preserve">1. INTRODUCTION </w:t>
      </w:r>
    </w:p>
    <w:p w:rsidR="00183FCD" w:rsidRPr="00183FCD" w:rsidRDefault="00183FCD" w:rsidP="00183FCD">
      <w:pPr>
        <w:widowControl w:val="0"/>
        <w:spacing w:after="0" w:line="240" w:lineRule="auto"/>
        <w:jc w:val="both"/>
        <w:rPr>
          <w:rFonts w:eastAsia="Times New Roman"/>
          <w:snapToGrid w:val="0"/>
          <w:szCs w:val="24"/>
          <w:lang w:val="en-US" w:eastAsia="en-US"/>
        </w:rPr>
      </w:pPr>
    </w:p>
    <w:p w:rsidR="00183FCD" w:rsidRPr="00183FCD" w:rsidRDefault="00183FCD" w:rsidP="00183FCD">
      <w:pPr>
        <w:widowControl w:val="0"/>
        <w:spacing w:after="0" w:line="240" w:lineRule="auto"/>
        <w:jc w:val="both"/>
        <w:rPr>
          <w:rFonts w:eastAsia="Times New Roman"/>
          <w:snapToGrid w:val="0"/>
          <w:szCs w:val="24"/>
          <w:lang w:val="en-US" w:eastAsia="en-US"/>
        </w:rPr>
      </w:pPr>
      <w:r w:rsidRPr="00183FCD">
        <w:rPr>
          <w:rFonts w:eastAsia="Times New Roman"/>
          <w:snapToGrid w:val="0"/>
          <w:szCs w:val="24"/>
          <w:lang w:val="en-GB" w:eastAsia="en-US"/>
        </w:rPr>
        <w:t>Modern buildings designed according to the current seismic codes are expected to develop a controlled ductile inelastic response during strong earthquakes, with possibly substantial residual deformations and structural damage. Following recent severe earthquakes worldwide,</w:t>
      </w:r>
      <w:r w:rsidRPr="00183FCD">
        <w:rPr>
          <w:rFonts w:eastAsia="Times New Roman"/>
          <w:snapToGrid w:val="0"/>
          <w:szCs w:val="24"/>
          <w:lang w:val="en-US" w:eastAsia="en-US"/>
        </w:rPr>
        <w:t xml:space="preserve"> even modern buildings were extensively damaged and engineers began to realize that the design objectives in current building codes in preserving life safety are no longer sufficient, but it is now the minimum required.</w:t>
      </w:r>
      <w:r w:rsidRPr="00183FCD">
        <w:rPr>
          <w:rFonts w:eastAsia="Times New Roman"/>
          <w:snapToGrid w:val="0"/>
          <w:szCs w:val="24"/>
          <w:lang w:val="en-GB" w:eastAsia="en-US"/>
        </w:rPr>
        <w:t xml:space="preserve"> </w:t>
      </w:r>
      <w:r w:rsidRPr="00183FCD">
        <w:rPr>
          <w:rFonts w:eastAsia="Times New Roman"/>
          <w:snapToGrid w:val="0"/>
          <w:szCs w:val="24"/>
          <w:lang w:val="en-US" w:eastAsia="en-US"/>
        </w:rPr>
        <w:t>Earthquake-resilient structures</w:t>
      </w:r>
      <w:r w:rsidRPr="00183FCD">
        <w:rPr>
          <w:rFonts w:eastAsia="Times New Roman"/>
          <w:snapToGrid w:val="0"/>
          <w:szCs w:val="24"/>
          <w:lang w:val="en-GB" w:eastAsia="en-US"/>
        </w:rPr>
        <w:t xml:space="preserve"> based on low-damage technologies are developing, such as dissipative rocking mechanisms (Di Cesare et al. 2019a), dissipative bracing systems (</w:t>
      </w:r>
      <w:r w:rsidRPr="00183FCD">
        <w:rPr>
          <w:rFonts w:eastAsia="Times New Roman"/>
          <w:snapToGrid w:val="0"/>
          <w:szCs w:val="24"/>
          <w:lang w:val="en-US" w:eastAsia="en-US"/>
        </w:rPr>
        <w:t>Di Cesare et al. 2014, Mazza et al. 2019</w:t>
      </w:r>
      <w:r w:rsidRPr="00183FCD">
        <w:rPr>
          <w:rFonts w:eastAsia="Times New Roman"/>
          <w:snapToGrid w:val="0"/>
          <w:szCs w:val="24"/>
          <w:lang w:val="en-GB" w:eastAsia="en-US"/>
        </w:rPr>
        <w:t xml:space="preserve">) and other forms of seismic protection (Ugalde et al. </w:t>
      </w:r>
      <w:r w:rsidRPr="00183FCD">
        <w:rPr>
          <w:rFonts w:eastAsia="Times New Roman"/>
          <w:snapToGrid w:val="0"/>
          <w:szCs w:val="24"/>
          <w:lang w:val="en-US" w:eastAsia="en-US"/>
        </w:rPr>
        <w:t>2019</w:t>
      </w:r>
      <w:r w:rsidRPr="00183FCD">
        <w:rPr>
          <w:rFonts w:eastAsia="Times New Roman"/>
          <w:snapToGrid w:val="0"/>
          <w:szCs w:val="24"/>
          <w:lang w:val="en-GB" w:eastAsia="en-US"/>
        </w:rPr>
        <w:t xml:space="preserve">). </w:t>
      </w:r>
      <w:r w:rsidRPr="00183FCD">
        <w:rPr>
          <w:rFonts w:eastAsia="Times New Roman"/>
          <w:snapToGrid w:val="0"/>
          <w:szCs w:val="24"/>
          <w:lang w:val="en-US" w:eastAsia="en-US"/>
        </w:rPr>
        <w:t>It not only focuses on preserving life in a strong earthquake, but also on preserving the structural and non-structural elements of the building, without or with easily repairable damages.</w:t>
      </w:r>
    </w:p>
    <w:p w:rsidR="00183FCD" w:rsidRPr="00183FCD" w:rsidRDefault="00183FCD" w:rsidP="00183FCD">
      <w:pPr>
        <w:widowControl w:val="0"/>
        <w:spacing w:after="0" w:line="240" w:lineRule="auto"/>
        <w:jc w:val="both"/>
        <w:rPr>
          <w:rFonts w:eastAsia="Times New Roman"/>
          <w:bCs/>
          <w:snapToGrid w:val="0"/>
          <w:szCs w:val="24"/>
          <w:lang w:val="en-GB" w:eastAsia="en-US"/>
        </w:rPr>
      </w:pPr>
      <w:r w:rsidRPr="00183FCD">
        <w:rPr>
          <w:rFonts w:eastAsia="Times New Roman"/>
          <w:snapToGrid w:val="0"/>
          <w:szCs w:val="24"/>
          <w:lang w:val="en-US" w:eastAsia="en-US"/>
        </w:rPr>
        <w:t xml:space="preserve">In the last decades, there has been renewed worldwide interest in timber as construction material and seismic resistant technologies for multi-storey timber buildings have been developed. Pres-Lam system, originally conceived for use in concrete structures (Priestley et al. 1999), has been applied to timber walled and/or framed buildings (Buchanan et al. 2008). This system uses unbounded steel cables or bars to connect beams to columns or columns/walls to the foundation.  In high seismic hazard areas the post-tensioning can be coupled with dissipative systems, such as bracing systems with replaceable and cost efficient dampers (Baird et al. 2014). While the post-tensioning provides the required re-centering capability to mitigate the consequences of residual drifts, the dampers provide additional strength and allow adequate energy dissipation, reducing the inter-storey drifts. During lateral movement, this system exhibits the typical ‘flag-shaped’ behavior (Di Cesare et al. 2017a). </w:t>
      </w:r>
      <w:r w:rsidRPr="00183FCD">
        <w:rPr>
          <w:rFonts w:eastAsia="Times New Roman"/>
          <w:bCs/>
          <w:snapToGrid w:val="0"/>
          <w:szCs w:val="24"/>
          <w:lang w:val="en-GB" w:eastAsia="en-US"/>
        </w:rPr>
        <w:t xml:space="preserve">Shaking table tests have been recently performed at the structural </w:t>
      </w:r>
      <w:r w:rsidRPr="00183FCD">
        <w:rPr>
          <w:rFonts w:eastAsia="Times New Roman"/>
          <w:bCs/>
          <w:snapToGrid w:val="0"/>
          <w:szCs w:val="24"/>
          <w:lang w:val="en-GB" w:eastAsia="en-US"/>
        </w:rPr>
        <w:lastRenderedPageBreak/>
        <w:t xml:space="preserve">laboratory of University of Basilicata, on a 3-dimensional, 3-storey, 2/3 scaled post-tensioned timber framed building equipped with dissipative bracing system (see Figure 1). It was part of </w:t>
      </w:r>
      <w:r w:rsidRPr="00183FCD">
        <w:rPr>
          <w:rFonts w:eastAsia="Times New Roman"/>
          <w:snapToGrid w:val="0"/>
          <w:szCs w:val="24"/>
          <w:lang w:val="en-GB" w:eastAsia="en-US"/>
        </w:rPr>
        <w:t xml:space="preserve">a collaborative </w:t>
      </w:r>
      <w:r w:rsidRPr="00183FCD">
        <w:rPr>
          <w:rFonts w:eastAsia="Times New Roman"/>
          <w:bCs/>
          <w:snapToGrid w:val="0"/>
          <w:szCs w:val="24"/>
          <w:lang w:val="en-GB" w:eastAsia="en-US"/>
        </w:rPr>
        <w:t xml:space="preserve">experimental </w:t>
      </w:r>
      <w:r w:rsidRPr="00183FCD">
        <w:rPr>
          <w:rFonts w:eastAsia="Times New Roman"/>
          <w:snapToGrid w:val="0"/>
          <w:szCs w:val="24"/>
          <w:lang w:val="en-GB" w:eastAsia="en-US"/>
        </w:rPr>
        <w:t xml:space="preserve">campaign with University of Canterbury (Christchurch, New Zealand), </w:t>
      </w:r>
      <w:r w:rsidRPr="00183FCD">
        <w:rPr>
          <w:rFonts w:eastAsia="Times New Roman"/>
          <w:bCs/>
          <w:snapToGrid w:val="0"/>
          <w:szCs w:val="24"/>
          <w:lang w:val="en-GB" w:eastAsia="en-US"/>
        </w:rPr>
        <w:t xml:space="preserve">in which the bare specimen was tested in different configurations, both with and without different energy dissipating systems </w:t>
      </w:r>
      <w:r w:rsidRPr="00183FCD">
        <w:rPr>
          <w:rFonts w:eastAsia="Times New Roman"/>
          <w:snapToGrid w:val="0"/>
          <w:szCs w:val="24"/>
          <w:lang w:val="en-GB" w:eastAsia="en-US"/>
        </w:rPr>
        <w:t>(Di Cesare et al. 2017b)</w:t>
      </w:r>
      <w:r w:rsidRPr="00183FCD">
        <w:rPr>
          <w:rFonts w:eastAsia="Times New Roman"/>
          <w:bCs/>
          <w:snapToGrid w:val="0"/>
          <w:szCs w:val="24"/>
          <w:lang w:val="en-GB" w:eastAsia="en-US"/>
        </w:rPr>
        <w:t>.</w:t>
      </w:r>
    </w:p>
    <w:p w:rsidR="00183FCD" w:rsidRPr="00183FCD" w:rsidRDefault="00183FCD" w:rsidP="00183FCD">
      <w:pPr>
        <w:widowControl w:val="0"/>
        <w:spacing w:after="0" w:line="240" w:lineRule="auto"/>
        <w:jc w:val="both"/>
        <w:rPr>
          <w:rFonts w:eastAsia="Times New Roman"/>
          <w:bCs/>
          <w:snapToGrid w:val="0"/>
          <w:szCs w:val="24"/>
          <w:lang w:val="en-GB" w:eastAsia="en-US"/>
        </w:rPr>
      </w:pPr>
      <w:r w:rsidRPr="00183FCD">
        <w:rPr>
          <w:rFonts w:eastAsia="Times New Roman"/>
          <w:bCs/>
          <w:snapToGrid w:val="0"/>
          <w:szCs w:val="24"/>
          <w:lang w:val="en-GB" w:eastAsia="en-US"/>
        </w:rPr>
        <w:t xml:space="preserve">The main goal of this paper is to set up a simple and robust numerical model, developed with finite element SAP2000 software (CSI 2014) able to provide an accurate prediction of the main seismic parameters. The calibration of the proposed model has been checked by comparing the results of nonlinear time history analyses with preliminary experimental results at PGA levels corresponding to a </w:t>
      </w:r>
      <w:r w:rsidRPr="00183FCD">
        <w:rPr>
          <w:rFonts w:eastAsia="Times New Roman"/>
          <w:bCs/>
          <w:snapToGrid w:val="0"/>
          <w:szCs w:val="24"/>
          <w:lang w:val="en-US" w:eastAsia="en-US"/>
        </w:rPr>
        <w:t>Service Level Earthquake (SLE) and a Design Base Earthquake (DBE)</w:t>
      </w:r>
      <w:r w:rsidRPr="00183FCD">
        <w:rPr>
          <w:rFonts w:eastAsia="Times New Roman"/>
          <w:bCs/>
          <w:snapToGrid w:val="0"/>
          <w:szCs w:val="24"/>
          <w:lang w:val="en-GB" w:eastAsia="en-US"/>
        </w:rPr>
        <w:t>.</w:t>
      </w:r>
    </w:p>
    <w:p w:rsidR="00183FCD" w:rsidRPr="00183FCD" w:rsidRDefault="00183FCD" w:rsidP="00183FCD">
      <w:pPr>
        <w:widowControl w:val="0"/>
        <w:spacing w:after="0" w:line="240" w:lineRule="auto"/>
        <w:jc w:val="both"/>
        <w:rPr>
          <w:rFonts w:eastAsia="Times New Roman"/>
          <w:snapToGrid w:val="0"/>
          <w:szCs w:val="24"/>
          <w:lang w:val="en-US" w:eastAsia="en-US"/>
        </w:rPr>
      </w:pPr>
    </w:p>
    <w:p w:rsidR="00183FCD" w:rsidRPr="00183FCD" w:rsidRDefault="00183FCD" w:rsidP="00183FCD">
      <w:pPr>
        <w:widowControl w:val="0"/>
        <w:spacing w:after="0" w:line="240" w:lineRule="auto"/>
        <w:jc w:val="both"/>
        <w:rPr>
          <w:rFonts w:eastAsia="Times New Roman"/>
          <w:snapToGrid w:val="0"/>
          <w:szCs w:val="24"/>
          <w:lang w:val="en-US" w:eastAsia="en-US"/>
        </w:rPr>
      </w:pPr>
    </w:p>
    <w:p w:rsidR="00183FCD" w:rsidRPr="00183FCD" w:rsidRDefault="00183FCD" w:rsidP="00183FC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183FCD">
        <w:rPr>
          <w:rFonts w:eastAsia="Times New Roman"/>
          <w:b/>
          <w:caps/>
          <w:snapToGrid w:val="0"/>
          <w:szCs w:val="24"/>
          <w:lang w:val="en-US" w:eastAsia="en-US"/>
        </w:rPr>
        <w:t>2. EXPERIMENTAL TESTING</w:t>
      </w:r>
    </w:p>
    <w:p w:rsidR="00183FCD" w:rsidRPr="00183FCD" w:rsidRDefault="00183FCD" w:rsidP="00183FCD">
      <w:pPr>
        <w:widowControl w:val="0"/>
        <w:spacing w:after="0" w:line="240" w:lineRule="auto"/>
        <w:jc w:val="both"/>
        <w:rPr>
          <w:rFonts w:eastAsia="Times New Roman"/>
          <w:snapToGrid w:val="0"/>
          <w:szCs w:val="24"/>
          <w:lang w:val="en-US" w:eastAsia="en-US"/>
        </w:rPr>
      </w:pPr>
    </w:p>
    <w:p w:rsidR="00183FCD" w:rsidRPr="00183FCD" w:rsidRDefault="00183FCD" w:rsidP="00183FCD">
      <w:pPr>
        <w:widowControl w:val="0"/>
        <w:spacing w:after="0" w:line="240" w:lineRule="auto"/>
        <w:jc w:val="both"/>
        <w:rPr>
          <w:rFonts w:eastAsia="Times New Roman"/>
          <w:snapToGrid w:val="0"/>
          <w:szCs w:val="24"/>
          <w:lang w:val="en-GB" w:eastAsia="en-US"/>
        </w:rPr>
      </w:pPr>
      <w:r w:rsidRPr="00183FCD">
        <w:rPr>
          <w:rFonts w:eastAsia="Times New Roman"/>
          <w:snapToGrid w:val="0"/>
          <w:szCs w:val="24"/>
          <w:lang w:val="en-GB" w:eastAsia="en-US"/>
        </w:rPr>
        <w:t xml:space="preserve">The prototype building was a three-dimensional timber framed structure three-stories tall, two single bays with a footprint of 6 m by 4.5 m and an inter-storey height was 3 m (Di Cesare et al. 2017b). It was post-tensioned in both directions, with steel bars crossing at the beam-column joints, and designed according to current seismic codes (EC8; NTC2018) to represent an office structure (live load of 3kPa for level I and II) with a rooftop garden (2kPa for level III). A scale factor of two-third was applied to the prototype building obtaining an experimental model with inter-storey height of 2m and footprint of 4m by 3m. The section sizes of the frame elements were: 200 x 320mm for columns, 200 x 305mm for primary beams and 200 x 240mm for secondary beams. Beams and columns were made of Glulam grade GL32h (CNR-DT 206 R1/2018). Shaking table tests were performed on the experimental model in different testing sessions (Table 1). </w:t>
      </w:r>
    </w:p>
    <w:p w:rsidR="00183FCD" w:rsidRPr="00183FCD" w:rsidRDefault="00183FCD" w:rsidP="00183FCD">
      <w:pPr>
        <w:widowControl w:val="0"/>
        <w:spacing w:after="0" w:line="240" w:lineRule="auto"/>
        <w:jc w:val="both"/>
        <w:rPr>
          <w:rFonts w:eastAsia="Times New Roman"/>
          <w:snapToGrid w:val="0"/>
          <w:szCs w:val="24"/>
          <w:lang w:val="en-GB" w:eastAsia="en-US"/>
        </w:rPr>
      </w:pPr>
      <w:r w:rsidRPr="00183FCD">
        <w:rPr>
          <w:rFonts w:eastAsia="Times New Roman"/>
          <w:snapToGrid w:val="0"/>
          <w:szCs w:val="24"/>
          <w:lang w:val="en-GB" w:eastAsia="en-US"/>
        </w:rPr>
        <w:t>During Session 1 and Session 2 the specimen was tested without (free rocking) and with dissipative rocking mechanisms at beam-column and/or at column-foundation connections (Di Cesare et al. 2019a). During session 3 of testing, the experimental specimen was equipped also with a dissipative bracing system (Figure 1a). In this testing session six dissipative braces, two for each storey, were inserted within the bays of two parallel frames along the test direction. Figure 1b shows a photograph view of the bracing system composed by V-inverted timber rods, with cross section of 160 x 180mm, in series with two U-shaped Flexural Plates (UFP) dampers made of C60 stainless steel. For more information of about UFP dampers (Figure 1c) characteristics refers to (Ponzo et al. 2019).</w:t>
      </w:r>
    </w:p>
    <w:p w:rsidR="00183FCD" w:rsidRPr="00183FCD" w:rsidRDefault="00183FCD" w:rsidP="00183FCD">
      <w:pPr>
        <w:widowControl w:val="0"/>
        <w:spacing w:after="0" w:line="240" w:lineRule="auto"/>
        <w:jc w:val="center"/>
        <w:rPr>
          <w:rFonts w:eastAsia="Times New Roman"/>
          <w:snapToGrid w:val="0"/>
          <w:lang w:val="en-GB" w:eastAsia="en-US"/>
        </w:rPr>
      </w:pPr>
    </w:p>
    <w:p w:rsidR="00183FCD" w:rsidRPr="00183FCD" w:rsidRDefault="00183FCD" w:rsidP="00183FCD">
      <w:pPr>
        <w:widowControl w:val="0"/>
        <w:spacing w:after="0" w:line="240" w:lineRule="auto"/>
        <w:jc w:val="center"/>
        <w:rPr>
          <w:rFonts w:eastAsia="Times New Roman"/>
          <w:snapToGrid w:val="0"/>
          <w:sz w:val="20"/>
          <w:szCs w:val="24"/>
          <w:lang w:val="en-US" w:eastAsia="en-US"/>
        </w:rPr>
      </w:pPr>
      <w:r w:rsidRPr="00183FCD">
        <w:rPr>
          <w:rFonts w:eastAsia="Times New Roman"/>
          <w:snapToGrid w:val="0"/>
          <w:sz w:val="20"/>
          <w:szCs w:val="24"/>
          <w:lang w:val="en-US" w:eastAsia="en-US"/>
        </w:rPr>
        <w:t>Table 1. Testing sessions of the experimental campaign.</w:t>
      </w:r>
    </w:p>
    <w:p w:rsidR="00183FCD" w:rsidRPr="00183FCD" w:rsidRDefault="00183FCD" w:rsidP="00183FCD">
      <w:pPr>
        <w:widowControl w:val="0"/>
        <w:spacing w:after="0" w:line="240" w:lineRule="auto"/>
        <w:jc w:val="both"/>
        <w:rPr>
          <w:rFonts w:eastAsia="Times New Roman"/>
          <w:snapToGrid w:val="0"/>
          <w:szCs w:val="24"/>
          <w:lang w:val="en-US" w:eastAsia="en-US"/>
        </w:rPr>
      </w:pPr>
    </w:p>
    <w:tbl>
      <w:tblPr>
        <w:tblW w:w="0" w:type="auto"/>
        <w:jc w:val="center"/>
        <w:tblCellMar>
          <w:left w:w="0" w:type="dxa"/>
          <w:right w:w="0" w:type="dxa"/>
        </w:tblCellMar>
        <w:tblLook w:val="01E0" w:firstRow="1" w:lastRow="1" w:firstColumn="1" w:lastColumn="1" w:noHBand="0" w:noVBand="0"/>
      </w:tblPr>
      <w:tblGrid>
        <w:gridCol w:w="884"/>
        <w:gridCol w:w="2268"/>
        <w:gridCol w:w="2268"/>
        <w:gridCol w:w="2268"/>
      </w:tblGrid>
      <w:tr w:rsidR="00183FCD" w:rsidRPr="00183FCD" w:rsidTr="00FF6B28">
        <w:trPr>
          <w:jc w:val="center"/>
        </w:trPr>
        <w:tc>
          <w:tcPr>
            <w:tcW w:w="884" w:type="dxa"/>
            <w:vMerge w:val="restart"/>
            <w:tcBorders>
              <w:top w:val="single" w:sz="4" w:space="0" w:color="auto"/>
            </w:tcBorders>
            <w:shd w:val="clear" w:color="auto" w:fill="auto"/>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Testing</w:t>
            </w:r>
          </w:p>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session</w:t>
            </w:r>
          </w:p>
        </w:tc>
        <w:tc>
          <w:tcPr>
            <w:tcW w:w="4536" w:type="dxa"/>
            <w:gridSpan w:val="2"/>
            <w:tcBorders>
              <w:top w:val="single" w:sz="4" w:space="0" w:color="auto"/>
            </w:tcBorders>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Dissipative rocking</w:t>
            </w:r>
          </w:p>
        </w:tc>
        <w:tc>
          <w:tcPr>
            <w:tcW w:w="2268" w:type="dxa"/>
            <w:tcBorders>
              <w:top w:val="single" w:sz="4" w:space="0" w:color="auto"/>
            </w:tcBorders>
            <w:shd w:val="clear" w:color="auto" w:fill="auto"/>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Dissipative</w:t>
            </w:r>
          </w:p>
        </w:tc>
      </w:tr>
      <w:tr w:rsidR="00183FCD" w:rsidRPr="00183FCD" w:rsidTr="00FF6B28">
        <w:trPr>
          <w:jc w:val="center"/>
        </w:trPr>
        <w:tc>
          <w:tcPr>
            <w:tcW w:w="884" w:type="dxa"/>
            <w:vMerge/>
            <w:tcBorders>
              <w:bottom w:val="single" w:sz="4" w:space="0" w:color="auto"/>
            </w:tcBorders>
            <w:shd w:val="clear" w:color="auto" w:fill="auto"/>
            <w:vAlign w:val="center"/>
          </w:tcPr>
          <w:p w:rsidR="00183FCD" w:rsidRPr="00183FCD" w:rsidRDefault="00183FCD" w:rsidP="00183FCD">
            <w:pPr>
              <w:widowControl w:val="0"/>
              <w:spacing w:after="0" w:line="240" w:lineRule="auto"/>
              <w:jc w:val="center"/>
              <w:rPr>
                <w:rFonts w:eastAsia="Times New Roman"/>
                <w:snapToGrid w:val="0"/>
                <w:lang w:val="en-GB" w:eastAsia="en-US"/>
              </w:rPr>
            </w:pPr>
          </w:p>
        </w:tc>
        <w:tc>
          <w:tcPr>
            <w:tcW w:w="2268" w:type="dxa"/>
            <w:tcBorders>
              <w:top w:val="single" w:sz="4" w:space="0" w:color="auto"/>
              <w:bottom w:val="single" w:sz="4" w:space="0" w:color="auto"/>
            </w:tcBorders>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Beam-column</w:t>
            </w:r>
          </w:p>
        </w:tc>
        <w:tc>
          <w:tcPr>
            <w:tcW w:w="2268" w:type="dxa"/>
            <w:tcBorders>
              <w:top w:val="single" w:sz="4" w:space="0" w:color="auto"/>
              <w:bottom w:val="single" w:sz="4" w:space="0" w:color="auto"/>
            </w:tcBorders>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Column-foundation</w:t>
            </w:r>
          </w:p>
        </w:tc>
        <w:tc>
          <w:tcPr>
            <w:tcW w:w="2268" w:type="dxa"/>
            <w:tcBorders>
              <w:bottom w:val="single" w:sz="4" w:space="0" w:color="auto"/>
            </w:tcBorders>
            <w:shd w:val="clear" w:color="auto" w:fill="auto"/>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braces</w:t>
            </w:r>
          </w:p>
        </w:tc>
      </w:tr>
      <w:tr w:rsidR="00183FCD" w:rsidRPr="00183FCD" w:rsidTr="00FF6B28">
        <w:trPr>
          <w:trHeight w:val="334"/>
          <w:jc w:val="center"/>
        </w:trPr>
        <w:tc>
          <w:tcPr>
            <w:tcW w:w="884" w:type="dxa"/>
            <w:tcBorders>
              <w:top w:val="single" w:sz="4" w:space="0" w:color="auto"/>
            </w:tcBorders>
            <w:shd w:val="clear" w:color="auto" w:fill="auto"/>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1</w:t>
            </w:r>
          </w:p>
        </w:tc>
        <w:tc>
          <w:tcPr>
            <w:tcW w:w="2268" w:type="dxa"/>
            <w:tcBorders>
              <w:top w:val="single" w:sz="4" w:space="0" w:color="auto"/>
            </w:tcBorders>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NO</w:t>
            </w:r>
          </w:p>
        </w:tc>
        <w:tc>
          <w:tcPr>
            <w:tcW w:w="2268" w:type="dxa"/>
            <w:tcBorders>
              <w:top w:val="single" w:sz="4" w:space="0" w:color="auto"/>
            </w:tcBorders>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NO</w:t>
            </w:r>
          </w:p>
        </w:tc>
        <w:tc>
          <w:tcPr>
            <w:tcW w:w="2268" w:type="dxa"/>
            <w:tcBorders>
              <w:top w:val="single" w:sz="4" w:space="0" w:color="auto"/>
            </w:tcBorders>
            <w:shd w:val="clear" w:color="auto" w:fill="auto"/>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NO</w:t>
            </w:r>
          </w:p>
        </w:tc>
      </w:tr>
      <w:tr w:rsidR="00183FCD" w:rsidRPr="00183FCD" w:rsidTr="00FF6B28">
        <w:trPr>
          <w:trHeight w:val="334"/>
          <w:jc w:val="center"/>
        </w:trPr>
        <w:tc>
          <w:tcPr>
            <w:tcW w:w="884" w:type="dxa"/>
            <w:shd w:val="clear" w:color="auto" w:fill="auto"/>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2</w:t>
            </w:r>
          </w:p>
        </w:tc>
        <w:tc>
          <w:tcPr>
            <w:tcW w:w="2268" w:type="dxa"/>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YES</w:t>
            </w:r>
          </w:p>
        </w:tc>
        <w:tc>
          <w:tcPr>
            <w:tcW w:w="2268" w:type="dxa"/>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YES</w:t>
            </w:r>
          </w:p>
        </w:tc>
        <w:tc>
          <w:tcPr>
            <w:tcW w:w="2268" w:type="dxa"/>
            <w:shd w:val="clear" w:color="auto" w:fill="auto"/>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NO</w:t>
            </w:r>
          </w:p>
        </w:tc>
      </w:tr>
      <w:tr w:rsidR="00183FCD" w:rsidRPr="00183FCD" w:rsidTr="00FF6B28">
        <w:trPr>
          <w:trHeight w:val="334"/>
          <w:jc w:val="center"/>
        </w:trPr>
        <w:tc>
          <w:tcPr>
            <w:tcW w:w="884" w:type="dxa"/>
            <w:tcBorders>
              <w:bottom w:val="single" w:sz="4" w:space="0" w:color="auto"/>
            </w:tcBorders>
            <w:shd w:val="clear" w:color="auto" w:fill="auto"/>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3</w:t>
            </w:r>
          </w:p>
        </w:tc>
        <w:tc>
          <w:tcPr>
            <w:tcW w:w="2268" w:type="dxa"/>
            <w:tcBorders>
              <w:bottom w:val="single" w:sz="4" w:space="0" w:color="auto"/>
            </w:tcBorders>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NO</w:t>
            </w:r>
          </w:p>
        </w:tc>
        <w:tc>
          <w:tcPr>
            <w:tcW w:w="2268" w:type="dxa"/>
            <w:tcBorders>
              <w:bottom w:val="single" w:sz="4" w:space="0" w:color="auto"/>
            </w:tcBorders>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YES</w:t>
            </w:r>
          </w:p>
        </w:tc>
        <w:tc>
          <w:tcPr>
            <w:tcW w:w="2268" w:type="dxa"/>
            <w:tcBorders>
              <w:bottom w:val="single" w:sz="4" w:space="0" w:color="auto"/>
            </w:tcBorders>
            <w:shd w:val="clear" w:color="auto" w:fill="auto"/>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YES</w:t>
            </w:r>
          </w:p>
        </w:tc>
      </w:tr>
    </w:tbl>
    <w:p w:rsidR="00183FCD" w:rsidRPr="00183FCD" w:rsidRDefault="00183FCD" w:rsidP="00183FCD">
      <w:pPr>
        <w:widowControl w:val="0"/>
        <w:spacing w:after="0" w:line="240" w:lineRule="auto"/>
        <w:jc w:val="both"/>
        <w:rPr>
          <w:rFonts w:eastAsia="Times New Roman"/>
          <w:snapToGrid w:val="0"/>
          <w:szCs w:val="24"/>
          <w:lang w:val="en-US" w:eastAsia="en-US"/>
        </w:rPr>
      </w:pPr>
    </w:p>
    <w:p w:rsidR="00183FCD" w:rsidRPr="00183FCD" w:rsidRDefault="00183FCD" w:rsidP="00183FCD">
      <w:pPr>
        <w:widowControl w:val="0"/>
        <w:spacing w:after="0" w:line="240" w:lineRule="auto"/>
        <w:jc w:val="both"/>
        <w:rPr>
          <w:rFonts w:eastAsia="Times New Roman"/>
          <w:snapToGrid w:val="0"/>
          <w:szCs w:val="24"/>
          <w:lang w:val="en-US" w:eastAsia="en-US"/>
        </w:rPr>
      </w:pPr>
      <w:r w:rsidRPr="00183FCD">
        <w:rPr>
          <w:rFonts w:eastAsia="Times New Roman"/>
          <w:snapToGrid w:val="0"/>
          <w:szCs w:val="24"/>
          <w:lang w:val="en-GB" w:eastAsia="en-US"/>
        </w:rPr>
        <w:t xml:space="preserve">The dissipative bracing systems were designed to increase the strength, stiffness and damping of the structure and to reduce inter-storey displacements, in order to eliminate or limit damages to structural and non-structural elements. In Table 2 and Figure 1b-c an overview of the main characteristics of the dissipative bracing system, considering a design earthquake level having a PGA of 0.44g and a target drift of 1.3%, is reported. </w:t>
      </w:r>
    </w:p>
    <w:p w:rsidR="00183FCD" w:rsidRPr="00183FCD" w:rsidRDefault="00183FCD" w:rsidP="00183FCD">
      <w:pPr>
        <w:widowControl w:val="0"/>
        <w:spacing w:after="0" w:line="240" w:lineRule="auto"/>
        <w:jc w:val="both"/>
        <w:rPr>
          <w:rFonts w:eastAsia="Times New Roman"/>
          <w:snapToGrid w:val="0"/>
          <w:szCs w:val="24"/>
          <w:lang w:val="en-US" w:eastAsia="en-US"/>
        </w:rPr>
      </w:pPr>
    </w:p>
    <w:p w:rsidR="00183FCD" w:rsidRPr="00183FCD" w:rsidRDefault="00183FCD" w:rsidP="00183FCD">
      <w:pPr>
        <w:widowControl w:val="0"/>
        <w:spacing w:after="0" w:line="240" w:lineRule="auto"/>
        <w:jc w:val="center"/>
        <w:rPr>
          <w:rFonts w:eastAsia="Times New Roman"/>
          <w:snapToGrid w:val="0"/>
          <w:sz w:val="20"/>
          <w:szCs w:val="24"/>
          <w:lang w:val="en-US" w:eastAsia="en-US"/>
        </w:rPr>
      </w:pPr>
      <w:r w:rsidRPr="00183FCD">
        <w:rPr>
          <w:rFonts w:eastAsia="Times New Roman"/>
          <w:snapToGrid w:val="0"/>
          <w:sz w:val="20"/>
          <w:szCs w:val="24"/>
          <w:lang w:val="en-US" w:eastAsia="en-US"/>
        </w:rPr>
        <w:t>Table 2. Main characteristics of the dissipative bracing system.</w:t>
      </w:r>
    </w:p>
    <w:p w:rsidR="00183FCD" w:rsidRPr="00183FCD" w:rsidRDefault="00183FCD" w:rsidP="00183FCD">
      <w:pPr>
        <w:widowControl w:val="0"/>
        <w:spacing w:after="0" w:line="240" w:lineRule="auto"/>
        <w:jc w:val="both"/>
        <w:rPr>
          <w:rFonts w:eastAsia="Times New Roman"/>
          <w:snapToGrid w:val="0"/>
          <w:szCs w:val="24"/>
          <w:lang w:val="en-US" w:eastAsia="en-US"/>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024"/>
        <w:gridCol w:w="791"/>
        <w:gridCol w:w="745"/>
        <w:gridCol w:w="784"/>
        <w:gridCol w:w="804"/>
        <w:gridCol w:w="656"/>
        <w:gridCol w:w="1481"/>
        <w:gridCol w:w="1191"/>
      </w:tblGrid>
      <w:tr w:rsidR="00183FCD" w:rsidRPr="00183FCD" w:rsidTr="00FF6B28">
        <w:trPr>
          <w:trHeight w:val="170"/>
          <w:jc w:val="center"/>
        </w:trPr>
        <w:tc>
          <w:tcPr>
            <w:tcW w:w="2024" w:type="dxa"/>
            <w:vMerge w:val="restart"/>
            <w:shd w:val="clear" w:color="auto" w:fill="FFFFFF"/>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noProof/>
                <w:snapToGrid w:val="0"/>
              </w:rPr>
              <w:drawing>
                <wp:inline distT="0" distB="0" distL="0" distR="0" wp14:anchorId="3B1C928F" wp14:editId="522F486C">
                  <wp:extent cx="936171" cy="936171"/>
                  <wp:effectExtent l="0" t="0" r="0" b="0"/>
                  <wp:docPr id="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5575" cy="955575"/>
                          </a:xfrm>
                          <a:prstGeom prst="rect">
                            <a:avLst/>
                          </a:prstGeom>
                          <a:noFill/>
                        </pic:spPr>
                      </pic:pic>
                    </a:graphicData>
                  </a:graphic>
                </wp:inline>
              </w:drawing>
            </w:r>
          </w:p>
        </w:tc>
        <w:tc>
          <w:tcPr>
            <w:tcW w:w="791" w:type="dxa"/>
            <w:vMerge w:val="restart"/>
            <w:shd w:val="clear" w:color="auto" w:fill="FFFFFF"/>
            <w:vAlign w:val="center"/>
            <w:hideMark/>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Storey</w:t>
            </w:r>
          </w:p>
        </w:tc>
        <w:tc>
          <w:tcPr>
            <w:tcW w:w="2989" w:type="dxa"/>
            <w:gridSpan w:val="4"/>
            <w:vAlign w:val="center"/>
            <w:hideMark/>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UFP dampers</w:t>
            </w:r>
          </w:p>
        </w:tc>
        <w:tc>
          <w:tcPr>
            <w:tcW w:w="2672" w:type="dxa"/>
            <w:gridSpan w:val="2"/>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V-inverted braces</w:t>
            </w:r>
          </w:p>
        </w:tc>
      </w:tr>
      <w:tr w:rsidR="00183FCD" w:rsidRPr="00183FCD" w:rsidTr="00FF6B28">
        <w:trPr>
          <w:trHeight w:val="483"/>
          <w:jc w:val="center"/>
        </w:trPr>
        <w:tc>
          <w:tcPr>
            <w:tcW w:w="2024" w:type="dxa"/>
            <w:vMerge/>
            <w:shd w:val="clear" w:color="auto" w:fill="FFFFFF"/>
          </w:tcPr>
          <w:p w:rsidR="00183FCD" w:rsidRPr="00183FCD" w:rsidRDefault="00183FCD" w:rsidP="00183FCD">
            <w:pPr>
              <w:widowControl w:val="0"/>
              <w:spacing w:after="0" w:line="240" w:lineRule="auto"/>
              <w:jc w:val="center"/>
              <w:rPr>
                <w:rFonts w:eastAsia="Times New Roman"/>
                <w:snapToGrid w:val="0"/>
                <w:lang w:val="en-GB" w:eastAsia="en-US"/>
              </w:rPr>
            </w:pPr>
          </w:p>
        </w:tc>
        <w:tc>
          <w:tcPr>
            <w:tcW w:w="791" w:type="dxa"/>
            <w:vMerge/>
            <w:shd w:val="clear" w:color="auto" w:fill="FFFFFF"/>
            <w:vAlign w:val="center"/>
            <w:hideMark/>
          </w:tcPr>
          <w:p w:rsidR="00183FCD" w:rsidRPr="00183FCD" w:rsidRDefault="00183FCD" w:rsidP="00183FCD">
            <w:pPr>
              <w:widowControl w:val="0"/>
              <w:spacing w:after="0" w:line="240" w:lineRule="auto"/>
              <w:jc w:val="center"/>
              <w:rPr>
                <w:rFonts w:eastAsia="Times New Roman"/>
                <w:snapToGrid w:val="0"/>
                <w:lang w:val="en-GB" w:eastAsia="en-US"/>
              </w:rPr>
            </w:pPr>
          </w:p>
        </w:tc>
        <w:tc>
          <w:tcPr>
            <w:tcW w:w="745" w:type="dxa"/>
            <w:shd w:val="clear" w:color="auto" w:fill="FFFFFF"/>
            <w:vAlign w:val="center"/>
            <w:hideMark/>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b</w:t>
            </w:r>
            <w:r w:rsidRPr="00183FCD">
              <w:rPr>
                <w:rFonts w:eastAsia="Times New Roman"/>
                <w:snapToGrid w:val="0"/>
                <w:vertAlign w:val="subscript"/>
                <w:lang w:val="en-GB" w:eastAsia="en-US"/>
              </w:rPr>
              <w:t>u</w:t>
            </w:r>
          </w:p>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(mm)</w:t>
            </w:r>
          </w:p>
        </w:tc>
        <w:tc>
          <w:tcPr>
            <w:tcW w:w="784" w:type="dxa"/>
            <w:shd w:val="clear" w:color="auto" w:fill="FFFFFF"/>
            <w:vAlign w:val="center"/>
            <w:hideMark/>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t</w:t>
            </w:r>
            <w:r w:rsidRPr="00183FCD">
              <w:rPr>
                <w:rFonts w:eastAsia="Times New Roman"/>
                <w:snapToGrid w:val="0"/>
                <w:vertAlign w:val="subscript"/>
                <w:lang w:val="en-GB" w:eastAsia="en-US"/>
              </w:rPr>
              <w:t>u</w:t>
            </w:r>
          </w:p>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(mm)</w:t>
            </w:r>
          </w:p>
        </w:tc>
        <w:tc>
          <w:tcPr>
            <w:tcW w:w="804" w:type="dxa"/>
            <w:shd w:val="clear" w:color="auto" w:fill="FFFFFF"/>
            <w:vAlign w:val="center"/>
            <w:hideMark/>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D</w:t>
            </w:r>
            <w:r w:rsidRPr="00183FCD">
              <w:rPr>
                <w:rFonts w:eastAsia="Times New Roman"/>
                <w:snapToGrid w:val="0"/>
                <w:vertAlign w:val="subscript"/>
                <w:lang w:val="en-GB" w:eastAsia="en-US"/>
              </w:rPr>
              <w:t>u</w:t>
            </w:r>
          </w:p>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(mm)</w:t>
            </w:r>
          </w:p>
        </w:tc>
        <w:tc>
          <w:tcPr>
            <w:tcW w:w="656" w:type="dxa"/>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Steel type</w:t>
            </w:r>
          </w:p>
        </w:tc>
        <w:tc>
          <w:tcPr>
            <w:tcW w:w="1481" w:type="dxa"/>
            <w:vAlign w:val="center"/>
            <w:hideMark/>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Rod section</w:t>
            </w:r>
          </w:p>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(mm)</w:t>
            </w:r>
          </w:p>
        </w:tc>
        <w:tc>
          <w:tcPr>
            <w:tcW w:w="1191" w:type="dxa"/>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Glulam type</w:t>
            </w:r>
          </w:p>
        </w:tc>
      </w:tr>
      <w:tr w:rsidR="00183FCD" w:rsidRPr="00183FCD" w:rsidTr="00FF6B28">
        <w:trPr>
          <w:trHeight w:val="1"/>
          <w:jc w:val="center"/>
        </w:trPr>
        <w:tc>
          <w:tcPr>
            <w:tcW w:w="2024" w:type="dxa"/>
            <w:vMerge/>
            <w:shd w:val="clear" w:color="auto" w:fill="FFFFFF"/>
          </w:tcPr>
          <w:p w:rsidR="00183FCD" w:rsidRPr="00183FCD" w:rsidRDefault="00183FCD" w:rsidP="00183FCD">
            <w:pPr>
              <w:widowControl w:val="0"/>
              <w:spacing w:after="0" w:line="240" w:lineRule="auto"/>
              <w:jc w:val="center"/>
              <w:rPr>
                <w:rFonts w:eastAsia="Times New Roman"/>
                <w:snapToGrid w:val="0"/>
                <w:lang w:val="en-GB" w:eastAsia="en-US"/>
              </w:rPr>
            </w:pPr>
          </w:p>
        </w:tc>
        <w:tc>
          <w:tcPr>
            <w:tcW w:w="791" w:type="dxa"/>
            <w:shd w:val="clear" w:color="auto" w:fill="FFFFFF"/>
            <w:vAlign w:val="center"/>
            <w:hideMark/>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1</w:t>
            </w:r>
          </w:p>
        </w:tc>
        <w:tc>
          <w:tcPr>
            <w:tcW w:w="745" w:type="dxa"/>
            <w:shd w:val="clear" w:color="auto" w:fill="FFFFFF"/>
            <w:vAlign w:val="center"/>
            <w:hideMark/>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60</w:t>
            </w:r>
          </w:p>
        </w:tc>
        <w:tc>
          <w:tcPr>
            <w:tcW w:w="784" w:type="dxa"/>
            <w:shd w:val="clear" w:color="auto" w:fill="FFFFFF"/>
            <w:vAlign w:val="center"/>
            <w:hideMark/>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6</w:t>
            </w:r>
          </w:p>
        </w:tc>
        <w:tc>
          <w:tcPr>
            <w:tcW w:w="804" w:type="dxa"/>
            <w:shd w:val="clear" w:color="auto" w:fill="FFFFFF"/>
            <w:vAlign w:val="center"/>
            <w:hideMark/>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60</w:t>
            </w:r>
          </w:p>
        </w:tc>
        <w:tc>
          <w:tcPr>
            <w:tcW w:w="656" w:type="dxa"/>
            <w:vMerge w:val="restart"/>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C60</w:t>
            </w:r>
          </w:p>
        </w:tc>
        <w:tc>
          <w:tcPr>
            <w:tcW w:w="1481" w:type="dxa"/>
            <w:vAlign w:val="center"/>
            <w:hideMark/>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160 x 180</w:t>
            </w:r>
          </w:p>
        </w:tc>
        <w:tc>
          <w:tcPr>
            <w:tcW w:w="1191" w:type="dxa"/>
            <w:vMerge w:val="restart"/>
            <w:vAlign w:val="center"/>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GL24h</w:t>
            </w:r>
          </w:p>
        </w:tc>
      </w:tr>
      <w:tr w:rsidR="00183FCD" w:rsidRPr="00183FCD" w:rsidTr="00FF6B28">
        <w:trPr>
          <w:trHeight w:val="1"/>
          <w:jc w:val="center"/>
        </w:trPr>
        <w:tc>
          <w:tcPr>
            <w:tcW w:w="2024" w:type="dxa"/>
            <w:vMerge/>
            <w:shd w:val="clear" w:color="auto" w:fill="FFFFFF"/>
          </w:tcPr>
          <w:p w:rsidR="00183FCD" w:rsidRPr="00183FCD" w:rsidRDefault="00183FCD" w:rsidP="00183FCD">
            <w:pPr>
              <w:widowControl w:val="0"/>
              <w:spacing w:after="0" w:line="240" w:lineRule="auto"/>
              <w:jc w:val="center"/>
              <w:rPr>
                <w:rFonts w:eastAsia="Times New Roman"/>
                <w:snapToGrid w:val="0"/>
                <w:lang w:val="en-GB" w:eastAsia="en-US"/>
              </w:rPr>
            </w:pPr>
          </w:p>
        </w:tc>
        <w:tc>
          <w:tcPr>
            <w:tcW w:w="791" w:type="dxa"/>
            <w:shd w:val="clear" w:color="auto" w:fill="FFFFFF"/>
            <w:vAlign w:val="center"/>
            <w:hideMark/>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2</w:t>
            </w:r>
          </w:p>
        </w:tc>
        <w:tc>
          <w:tcPr>
            <w:tcW w:w="745" w:type="dxa"/>
            <w:shd w:val="clear" w:color="auto" w:fill="FFFFFF"/>
            <w:vAlign w:val="center"/>
            <w:hideMark/>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40</w:t>
            </w:r>
          </w:p>
        </w:tc>
        <w:tc>
          <w:tcPr>
            <w:tcW w:w="784" w:type="dxa"/>
            <w:shd w:val="clear" w:color="auto" w:fill="FFFFFF"/>
            <w:vAlign w:val="center"/>
            <w:hideMark/>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6</w:t>
            </w:r>
          </w:p>
        </w:tc>
        <w:tc>
          <w:tcPr>
            <w:tcW w:w="804" w:type="dxa"/>
            <w:shd w:val="clear" w:color="auto" w:fill="FFFFFF"/>
            <w:vAlign w:val="center"/>
            <w:hideMark/>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60</w:t>
            </w:r>
          </w:p>
        </w:tc>
        <w:tc>
          <w:tcPr>
            <w:tcW w:w="656" w:type="dxa"/>
            <w:vMerge/>
          </w:tcPr>
          <w:p w:rsidR="00183FCD" w:rsidRPr="00183FCD" w:rsidRDefault="00183FCD" w:rsidP="00183FCD">
            <w:pPr>
              <w:widowControl w:val="0"/>
              <w:spacing w:after="0" w:line="240" w:lineRule="auto"/>
              <w:jc w:val="center"/>
              <w:rPr>
                <w:rFonts w:eastAsia="Times New Roman"/>
                <w:snapToGrid w:val="0"/>
                <w:lang w:val="en-GB" w:eastAsia="en-US"/>
              </w:rPr>
            </w:pPr>
          </w:p>
        </w:tc>
        <w:tc>
          <w:tcPr>
            <w:tcW w:w="1481" w:type="dxa"/>
            <w:vAlign w:val="center"/>
            <w:hideMark/>
          </w:tcPr>
          <w:p w:rsidR="00183FCD" w:rsidRPr="00183FCD" w:rsidRDefault="00183FCD" w:rsidP="00183FCD">
            <w:pPr>
              <w:widowControl w:val="0"/>
              <w:spacing w:after="0" w:line="240" w:lineRule="auto"/>
              <w:jc w:val="center"/>
              <w:rPr>
                <w:rFonts w:eastAsia="Times New Roman"/>
                <w:snapToGrid w:val="0"/>
                <w:lang w:val="en-US" w:eastAsia="en-US"/>
              </w:rPr>
            </w:pPr>
            <w:r w:rsidRPr="00183FCD">
              <w:rPr>
                <w:rFonts w:eastAsia="Times New Roman"/>
                <w:snapToGrid w:val="0"/>
                <w:lang w:val="en-GB" w:eastAsia="en-US"/>
              </w:rPr>
              <w:t>160 x 180</w:t>
            </w:r>
          </w:p>
        </w:tc>
        <w:tc>
          <w:tcPr>
            <w:tcW w:w="1191" w:type="dxa"/>
            <w:vMerge/>
          </w:tcPr>
          <w:p w:rsidR="00183FCD" w:rsidRPr="00183FCD" w:rsidRDefault="00183FCD" w:rsidP="00183FCD">
            <w:pPr>
              <w:widowControl w:val="0"/>
              <w:spacing w:after="0" w:line="240" w:lineRule="auto"/>
              <w:jc w:val="center"/>
              <w:rPr>
                <w:rFonts w:eastAsia="Times New Roman"/>
                <w:snapToGrid w:val="0"/>
                <w:lang w:val="en-GB" w:eastAsia="en-US"/>
              </w:rPr>
            </w:pPr>
          </w:p>
        </w:tc>
      </w:tr>
      <w:tr w:rsidR="00183FCD" w:rsidRPr="00183FCD" w:rsidTr="00FF6B28">
        <w:trPr>
          <w:trHeight w:val="1"/>
          <w:jc w:val="center"/>
        </w:trPr>
        <w:tc>
          <w:tcPr>
            <w:tcW w:w="2024" w:type="dxa"/>
            <w:vMerge/>
            <w:shd w:val="clear" w:color="auto" w:fill="FFFFFF"/>
          </w:tcPr>
          <w:p w:rsidR="00183FCD" w:rsidRPr="00183FCD" w:rsidRDefault="00183FCD" w:rsidP="00183FCD">
            <w:pPr>
              <w:widowControl w:val="0"/>
              <w:spacing w:after="0" w:line="240" w:lineRule="auto"/>
              <w:jc w:val="center"/>
              <w:rPr>
                <w:rFonts w:eastAsia="Times New Roman"/>
                <w:snapToGrid w:val="0"/>
                <w:lang w:val="en-GB" w:eastAsia="en-US"/>
              </w:rPr>
            </w:pPr>
          </w:p>
        </w:tc>
        <w:tc>
          <w:tcPr>
            <w:tcW w:w="791" w:type="dxa"/>
            <w:shd w:val="clear" w:color="auto" w:fill="FFFFFF"/>
            <w:vAlign w:val="center"/>
            <w:hideMark/>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3</w:t>
            </w:r>
          </w:p>
        </w:tc>
        <w:tc>
          <w:tcPr>
            <w:tcW w:w="745" w:type="dxa"/>
            <w:shd w:val="clear" w:color="auto" w:fill="FFFFFF"/>
            <w:vAlign w:val="center"/>
            <w:hideMark/>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30</w:t>
            </w:r>
          </w:p>
        </w:tc>
        <w:tc>
          <w:tcPr>
            <w:tcW w:w="784" w:type="dxa"/>
            <w:shd w:val="clear" w:color="auto" w:fill="FFFFFF"/>
            <w:vAlign w:val="center"/>
            <w:hideMark/>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6</w:t>
            </w:r>
          </w:p>
        </w:tc>
        <w:tc>
          <w:tcPr>
            <w:tcW w:w="804" w:type="dxa"/>
            <w:shd w:val="clear" w:color="auto" w:fill="FFFFFF"/>
            <w:vAlign w:val="center"/>
            <w:hideMark/>
          </w:tcPr>
          <w:p w:rsidR="00183FCD" w:rsidRPr="00183FCD" w:rsidRDefault="00183FCD" w:rsidP="00183FCD">
            <w:pPr>
              <w:widowControl w:val="0"/>
              <w:spacing w:after="0" w:line="240" w:lineRule="auto"/>
              <w:jc w:val="center"/>
              <w:rPr>
                <w:rFonts w:eastAsia="Times New Roman"/>
                <w:snapToGrid w:val="0"/>
                <w:lang w:val="en-GB" w:eastAsia="en-US"/>
              </w:rPr>
            </w:pPr>
            <w:r w:rsidRPr="00183FCD">
              <w:rPr>
                <w:rFonts w:eastAsia="Times New Roman"/>
                <w:snapToGrid w:val="0"/>
                <w:lang w:val="en-GB" w:eastAsia="en-US"/>
              </w:rPr>
              <w:t>60</w:t>
            </w:r>
          </w:p>
        </w:tc>
        <w:tc>
          <w:tcPr>
            <w:tcW w:w="656" w:type="dxa"/>
            <w:vMerge/>
          </w:tcPr>
          <w:p w:rsidR="00183FCD" w:rsidRPr="00183FCD" w:rsidRDefault="00183FCD" w:rsidP="00183FCD">
            <w:pPr>
              <w:widowControl w:val="0"/>
              <w:spacing w:after="0" w:line="240" w:lineRule="auto"/>
              <w:jc w:val="center"/>
              <w:rPr>
                <w:rFonts w:eastAsia="Times New Roman"/>
                <w:snapToGrid w:val="0"/>
                <w:lang w:val="en-GB" w:eastAsia="en-US"/>
              </w:rPr>
            </w:pPr>
          </w:p>
        </w:tc>
        <w:tc>
          <w:tcPr>
            <w:tcW w:w="1481" w:type="dxa"/>
            <w:vAlign w:val="center"/>
            <w:hideMark/>
          </w:tcPr>
          <w:p w:rsidR="00183FCD" w:rsidRPr="00183FCD" w:rsidRDefault="00183FCD" w:rsidP="00183FCD">
            <w:pPr>
              <w:widowControl w:val="0"/>
              <w:spacing w:after="0" w:line="240" w:lineRule="auto"/>
              <w:jc w:val="center"/>
              <w:rPr>
                <w:rFonts w:eastAsia="Times New Roman"/>
                <w:snapToGrid w:val="0"/>
                <w:lang w:val="en-US" w:eastAsia="en-US"/>
              </w:rPr>
            </w:pPr>
            <w:r w:rsidRPr="00183FCD">
              <w:rPr>
                <w:rFonts w:eastAsia="Times New Roman"/>
                <w:snapToGrid w:val="0"/>
                <w:lang w:val="en-GB" w:eastAsia="en-US"/>
              </w:rPr>
              <w:t>160 x 180</w:t>
            </w:r>
          </w:p>
        </w:tc>
        <w:tc>
          <w:tcPr>
            <w:tcW w:w="1191" w:type="dxa"/>
            <w:vMerge/>
          </w:tcPr>
          <w:p w:rsidR="00183FCD" w:rsidRPr="00183FCD" w:rsidRDefault="00183FCD" w:rsidP="00183FCD">
            <w:pPr>
              <w:widowControl w:val="0"/>
              <w:spacing w:after="0" w:line="240" w:lineRule="auto"/>
              <w:jc w:val="center"/>
              <w:rPr>
                <w:rFonts w:eastAsia="Times New Roman"/>
                <w:snapToGrid w:val="0"/>
                <w:lang w:val="en-GB" w:eastAsia="en-US"/>
              </w:rPr>
            </w:pPr>
          </w:p>
        </w:tc>
      </w:tr>
    </w:tbl>
    <w:p w:rsidR="00183FCD" w:rsidRPr="00183FCD" w:rsidRDefault="00183FCD" w:rsidP="00183FCD">
      <w:pPr>
        <w:widowControl w:val="0"/>
        <w:spacing w:after="0" w:line="240" w:lineRule="auto"/>
        <w:jc w:val="both"/>
        <w:rPr>
          <w:rFonts w:eastAsia="Times New Roman"/>
          <w:snapToGrid w:val="0"/>
          <w:szCs w:val="24"/>
          <w:lang w:val="en-GB" w:eastAsia="en-US"/>
        </w:rPr>
      </w:pPr>
    </w:p>
    <w:tbl>
      <w:tblPr>
        <w:tblW w:w="0" w:type="auto"/>
        <w:jc w:val="center"/>
        <w:tblLook w:val="01E0" w:firstRow="1" w:lastRow="1" w:firstColumn="1" w:lastColumn="1" w:noHBand="0" w:noVBand="0"/>
      </w:tblPr>
      <w:tblGrid>
        <w:gridCol w:w="4455"/>
        <w:gridCol w:w="4582"/>
      </w:tblGrid>
      <w:tr w:rsidR="00183FCD" w:rsidRPr="00183FCD" w:rsidTr="00FF6B28">
        <w:trPr>
          <w:trHeight w:val="4479"/>
          <w:jc w:val="center"/>
        </w:trPr>
        <w:tc>
          <w:tcPr>
            <w:tcW w:w="4455" w:type="dxa"/>
            <w:shd w:val="clear" w:color="auto" w:fill="auto"/>
            <w:vAlign w:val="center"/>
          </w:tcPr>
          <w:p w:rsidR="00183FCD" w:rsidRPr="00183FCD" w:rsidRDefault="00183FCD" w:rsidP="00183FCD">
            <w:pPr>
              <w:widowControl w:val="0"/>
              <w:spacing w:after="0" w:line="240" w:lineRule="auto"/>
              <w:jc w:val="center"/>
              <w:rPr>
                <w:rFonts w:eastAsia="Times New Roman"/>
                <w:snapToGrid w:val="0"/>
                <w:sz w:val="20"/>
                <w:szCs w:val="24"/>
                <w:lang w:val="en-GB" w:eastAsia="en-US"/>
              </w:rPr>
            </w:pPr>
            <w:r w:rsidRPr="00183FCD">
              <w:rPr>
                <w:rFonts w:eastAsia="Times New Roman"/>
                <w:snapToGrid w:val="0"/>
                <w:sz w:val="20"/>
                <w:szCs w:val="24"/>
                <w:lang w:val="en-GB" w:eastAsia="en-US"/>
              </w:rPr>
              <w:t>(a)</w:t>
            </w:r>
            <w:r w:rsidRPr="00183FCD">
              <w:rPr>
                <w:rFonts w:eastAsia="Times New Roman"/>
                <w:noProof/>
                <w:snapToGrid w:val="0"/>
                <w:sz w:val="20"/>
                <w:szCs w:val="24"/>
              </w:rPr>
              <w:drawing>
                <wp:inline distT="0" distB="0" distL="0" distR="0" wp14:anchorId="7AFA3438" wp14:editId="6BB23224">
                  <wp:extent cx="2932132" cy="2160000"/>
                  <wp:effectExtent l="5080" t="0" r="6985" b="6985"/>
                  <wp:docPr id="4" name="Immagine 54" descr="C:\Users\Nicla\Documents\UNIBAS\Pres-Lam\foto struttura PRES-LAM\foto Pres-Lam con controventi\20180622_113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Nicla\Documents\UNIBAS\Pres-Lam\foto struttura PRES-LAM\foto Pres-Lam con controventi\20180622_113414.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l="7617" t="4265" r="16633" b="2716"/>
                          <a:stretch/>
                        </pic:blipFill>
                        <pic:spPr bwMode="auto">
                          <a:xfrm rot="5400000">
                            <a:off x="0" y="0"/>
                            <a:ext cx="2932132"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2" w:type="dxa"/>
            <w:vAlign w:val="center"/>
          </w:tcPr>
          <w:p w:rsidR="00183FCD" w:rsidRPr="00183FCD" w:rsidRDefault="00183FCD" w:rsidP="00183FCD">
            <w:pPr>
              <w:widowControl w:val="0"/>
              <w:spacing w:after="0" w:line="240" w:lineRule="auto"/>
              <w:jc w:val="center"/>
              <w:rPr>
                <w:rFonts w:eastAsia="Times New Roman"/>
                <w:noProof/>
                <w:snapToGrid w:val="0"/>
                <w:sz w:val="20"/>
                <w:szCs w:val="24"/>
                <w:lang w:val="it-IT" w:eastAsia="it-IT"/>
              </w:rPr>
            </w:pPr>
            <w:r w:rsidRPr="00183FCD">
              <w:rPr>
                <w:rFonts w:eastAsia="Times New Roman"/>
                <w:noProof/>
                <w:snapToGrid w:val="0"/>
                <w:sz w:val="20"/>
                <w:szCs w:val="24"/>
                <w:lang w:val="it-IT" w:eastAsia="it-IT"/>
              </w:rPr>
              <w:t xml:space="preserve">(b) </w:t>
            </w:r>
            <w:r w:rsidRPr="00183FCD">
              <w:rPr>
                <w:rFonts w:eastAsia="Times New Roman"/>
                <w:noProof/>
                <w:snapToGrid w:val="0"/>
                <w:sz w:val="20"/>
                <w:szCs w:val="24"/>
              </w:rPr>
              <w:drawing>
                <wp:inline distT="0" distB="0" distL="0" distR="0" wp14:anchorId="2E3A7B33" wp14:editId="14953191">
                  <wp:extent cx="2255520" cy="1451298"/>
                  <wp:effectExtent l="0" t="0" r="0" b="0"/>
                  <wp:docPr id="5"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5938" cy="1464436"/>
                          </a:xfrm>
                          <a:prstGeom prst="rect">
                            <a:avLst/>
                          </a:prstGeom>
                          <a:noFill/>
                        </pic:spPr>
                      </pic:pic>
                    </a:graphicData>
                  </a:graphic>
                </wp:inline>
              </w:drawing>
            </w:r>
          </w:p>
          <w:p w:rsidR="00183FCD" w:rsidRPr="00183FCD" w:rsidRDefault="00183FCD" w:rsidP="00183FCD">
            <w:pPr>
              <w:widowControl w:val="0"/>
              <w:spacing w:after="0" w:line="240" w:lineRule="auto"/>
              <w:jc w:val="center"/>
              <w:rPr>
                <w:rFonts w:eastAsia="Times New Roman"/>
                <w:noProof/>
                <w:snapToGrid w:val="0"/>
                <w:sz w:val="20"/>
                <w:szCs w:val="24"/>
                <w:lang w:val="it-IT" w:eastAsia="it-IT"/>
              </w:rPr>
            </w:pPr>
          </w:p>
          <w:p w:rsidR="00183FCD" w:rsidRPr="00183FCD" w:rsidRDefault="00183FCD" w:rsidP="00183FCD">
            <w:pPr>
              <w:widowControl w:val="0"/>
              <w:spacing w:after="0" w:line="240" w:lineRule="auto"/>
              <w:jc w:val="center"/>
              <w:rPr>
                <w:rFonts w:eastAsia="Times New Roman"/>
                <w:noProof/>
                <w:snapToGrid w:val="0"/>
                <w:sz w:val="20"/>
                <w:szCs w:val="24"/>
                <w:lang w:val="it-IT" w:eastAsia="it-IT"/>
              </w:rPr>
            </w:pPr>
            <w:r w:rsidRPr="00183FCD">
              <w:rPr>
                <w:rFonts w:eastAsia="Times New Roman"/>
                <w:noProof/>
                <w:snapToGrid w:val="0"/>
                <w:sz w:val="20"/>
                <w:szCs w:val="24"/>
                <w:lang w:val="it-IT" w:eastAsia="it-IT"/>
              </w:rPr>
              <w:t>(c)</w:t>
            </w:r>
            <w:r w:rsidRPr="00183FCD">
              <w:rPr>
                <w:rFonts w:eastAsia="Times New Roman"/>
                <w:noProof/>
                <w:snapToGrid w:val="0"/>
                <w:sz w:val="20"/>
                <w:szCs w:val="24"/>
              </w:rPr>
              <w:drawing>
                <wp:inline distT="0" distB="0" distL="0" distR="0" wp14:anchorId="3A9B3994" wp14:editId="6FFCBB8E">
                  <wp:extent cx="2304288" cy="1211429"/>
                  <wp:effectExtent l="0" t="0" r="1270" b="8255"/>
                  <wp:docPr id="6"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459" cy="1222033"/>
                          </a:xfrm>
                          <a:prstGeom prst="rect">
                            <a:avLst/>
                          </a:prstGeom>
                          <a:noFill/>
                        </pic:spPr>
                      </pic:pic>
                    </a:graphicData>
                  </a:graphic>
                </wp:inline>
              </w:drawing>
            </w:r>
          </w:p>
          <w:p w:rsidR="00183FCD" w:rsidRPr="00183FCD" w:rsidRDefault="00183FCD" w:rsidP="00183FCD">
            <w:pPr>
              <w:widowControl w:val="0"/>
              <w:spacing w:after="0" w:line="240" w:lineRule="auto"/>
              <w:jc w:val="center"/>
              <w:rPr>
                <w:rFonts w:eastAsia="Times New Roman"/>
                <w:noProof/>
                <w:snapToGrid w:val="0"/>
                <w:sz w:val="20"/>
                <w:szCs w:val="24"/>
                <w:lang w:val="it-IT" w:eastAsia="it-IT"/>
              </w:rPr>
            </w:pPr>
          </w:p>
        </w:tc>
      </w:tr>
    </w:tbl>
    <w:p w:rsidR="00183FCD" w:rsidRPr="00183FCD" w:rsidRDefault="00183FCD" w:rsidP="00183FCD">
      <w:pPr>
        <w:widowControl w:val="0"/>
        <w:tabs>
          <w:tab w:val="left" w:pos="0"/>
        </w:tabs>
        <w:suppressAutoHyphens/>
        <w:spacing w:after="0" w:line="240" w:lineRule="auto"/>
        <w:jc w:val="both"/>
        <w:rPr>
          <w:rFonts w:eastAsia="Times New Roman"/>
          <w:snapToGrid w:val="0"/>
          <w:szCs w:val="24"/>
          <w:lang w:val="en-US" w:eastAsia="en-US"/>
        </w:rPr>
      </w:pPr>
    </w:p>
    <w:p w:rsidR="00183FCD" w:rsidRPr="00183FCD" w:rsidRDefault="00183FCD" w:rsidP="00183FCD">
      <w:pPr>
        <w:widowControl w:val="0"/>
        <w:spacing w:after="0" w:line="240" w:lineRule="auto"/>
        <w:jc w:val="center"/>
        <w:rPr>
          <w:rFonts w:eastAsia="Times New Roman"/>
          <w:snapToGrid w:val="0"/>
          <w:sz w:val="20"/>
          <w:szCs w:val="24"/>
          <w:lang w:val="en-GB" w:eastAsia="en-US"/>
        </w:rPr>
      </w:pPr>
      <w:r w:rsidRPr="00183FCD">
        <w:rPr>
          <w:rFonts w:eastAsia="Times New Roman"/>
          <w:snapToGrid w:val="0"/>
          <w:sz w:val="20"/>
          <w:szCs w:val="24"/>
          <w:lang w:val="en-US" w:eastAsia="en-US"/>
        </w:rPr>
        <w:t xml:space="preserve">Figure 1. </w:t>
      </w:r>
      <w:r w:rsidRPr="00183FCD">
        <w:rPr>
          <w:rFonts w:eastAsia="Times New Roman"/>
          <w:snapToGrid w:val="0"/>
          <w:sz w:val="20"/>
          <w:szCs w:val="24"/>
          <w:lang w:val="en-GB" w:eastAsia="en-US"/>
        </w:rPr>
        <w:t xml:space="preserve">(a) Experimental model with dissipative bracing systems tested at UNIBAS laboratory; (b) Detail of the </w:t>
      </w:r>
      <w:r w:rsidRPr="00183FCD">
        <w:rPr>
          <w:rFonts w:eastAsia="Times New Roman"/>
          <w:snapToGrid w:val="0"/>
          <w:sz w:val="20"/>
          <w:szCs w:val="24"/>
          <w:lang w:val="en-US" w:eastAsia="en-US"/>
        </w:rPr>
        <w:t>bracing system</w:t>
      </w:r>
      <w:r w:rsidRPr="00183FCD">
        <w:rPr>
          <w:rFonts w:eastAsia="Times New Roman"/>
          <w:snapToGrid w:val="0"/>
          <w:sz w:val="20"/>
          <w:szCs w:val="24"/>
          <w:lang w:val="en-GB" w:eastAsia="en-US"/>
        </w:rPr>
        <w:t xml:space="preserve"> connection; (c) UFP hysteretic dampers used for the bracing system. </w:t>
      </w:r>
    </w:p>
    <w:p w:rsidR="00183FCD" w:rsidRPr="00183FCD" w:rsidRDefault="00183FCD" w:rsidP="00183FCD">
      <w:pPr>
        <w:widowControl w:val="0"/>
        <w:spacing w:after="0" w:line="240" w:lineRule="auto"/>
        <w:jc w:val="center"/>
        <w:rPr>
          <w:rFonts w:eastAsia="Times New Roman"/>
          <w:snapToGrid w:val="0"/>
          <w:lang w:val="en-GB" w:eastAsia="en-US"/>
        </w:rPr>
      </w:pPr>
    </w:p>
    <w:p w:rsidR="00183FCD" w:rsidRPr="00183FCD" w:rsidRDefault="00183FCD" w:rsidP="00183FCD">
      <w:pPr>
        <w:widowControl w:val="0"/>
        <w:spacing w:after="0" w:line="240" w:lineRule="auto"/>
        <w:jc w:val="both"/>
        <w:rPr>
          <w:rFonts w:eastAsia="Times New Roman"/>
          <w:snapToGrid w:val="0"/>
          <w:szCs w:val="24"/>
          <w:lang w:val="en-US" w:eastAsia="en-US"/>
        </w:rPr>
      </w:pPr>
      <w:r w:rsidRPr="00183FCD">
        <w:rPr>
          <w:rFonts w:eastAsia="Times New Roman"/>
          <w:snapToGrid w:val="0"/>
          <w:szCs w:val="24"/>
          <w:lang w:val="en-US" w:eastAsia="en-US"/>
        </w:rPr>
        <w:t xml:space="preserve">In order to evaluate the influence of the bracing system on the seismic response of the experimental model, shaking table testing were carried out considering a set of seven natural earthquakes selected from the </w:t>
      </w:r>
      <w:r w:rsidRPr="00183FCD">
        <w:rPr>
          <w:rFonts w:eastAsia="Times New Roman"/>
          <w:i/>
          <w:iCs/>
          <w:snapToGrid w:val="0"/>
          <w:szCs w:val="24"/>
          <w:lang w:val="en-US" w:eastAsia="en-US"/>
        </w:rPr>
        <w:t xml:space="preserve">European strong-motion database </w:t>
      </w:r>
      <w:r w:rsidRPr="00183FCD">
        <w:rPr>
          <w:rFonts w:eastAsia="Times New Roman"/>
          <w:iCs/>
          <w:snapToGrid w:val="0"/>
          <w:szCs w:val="24"/>
          <w:lang w:val="en-US" w:eastAsia="en-US"/>
        </w:rPr>
        <w:t>at various intensities</w:t>
      </w:r>
      <w:r w:rsidRPr="00183FCD">
        <w:rPr>
          <w:rFonts w:eastAsia="Times New Roman"/>
          <w:snapToGrid w:val="0"/>
          <w:szCs w:val="24"/>
          <w:lang w:val="en-US" w:eastAsia="en-US"/>
        </w:rPr>
        <w:t xml:space="preserve">. </w:t>
      </w:r>
      <w:r w:rsidRPr="00183FCD">
        <w:rPr>
          <w:rFonts w:eastAsia="Times New Roman"/>
          <w:snapToGrid w:val="0"/>
          <w:szCs w:val="24"/>
          <w:lang w:val="en-GB" w:eastAsia="en-US"/>
        </w:rPr>
        <w:t>The seismic response was recorded by a combination of 54 instruments, including displacement potentiometers, load cells and accelerometers. Local deformations were also recorded across the gap opening of beam-column, column-foundation connections and UFP hysteretic dampers.</w:t>
      </w:r>
      <w:r w:rsidRPr="00183FCD">
        <w:rPr>
          <w:rFonts w:eastAsia="Times New Roman"/>
          <w:snapToGrid w:val="0"/>
          <w:szCs w:val="24"/>
          <w:lang w:val="en-US" w:eastAsia="en-US"/>
        </w:rPr>
        <w:t xml:space="preserve"> </w:t>
      </w:r>
    </w:p>
    <w:p w:rsidR="00183FCD" w:rsidRPr="00183FCD" w:rsidRDefault="00183FCD" w:rsidP="00183FCD">
      <w:pPr>
        <w:widowControl w:val="0"/>
        <w:spacing w:after="0" w:line="240" w:lineRule="auto"/>
        <w:jc w:val="both"/>
        <w:rPr>
          <w:rFonts w:eastAsia="Times New Roman"/>
          <w:snapToGrid w:val="0"/>
          <w:szCs w:val="24"/>
          <w:lang w:val="en-US" w:eastAsia="en-US"/>
        </w:rPr>
      </w:pPr>
      <w:r w:rsidRPr="00183FCD">
        <w:rPr>
          <w:rFonts w:eastAsia="Times New Roman"/>
          <w:snapToGrid w:val="0"/>
          <w:szCs w:val="24"/>
          <w:lang w:val="en-US" w:eastAsia="en-US"/>
        </w:rPr>
        <w:t>In this paper the ground motion selected for test results is the 1992 Ezican earthquake record (ID 535). This motion was scaled to intensities corresponding to a Service Level Earthquake (SLE) and Design Base Earthquake (DBE). Figure 2 shows the response spectra of the selected input for the two intensities (25% and 100% of PGA) compared with the corresponding code spectra.</w:t>
      </w:r>
    </w:p>
    <w:p w:rsidR="00183FCD" w:rsidRPr="00183FCD" w:rsidRDefault="00183FCD" w:rsidP="00183FCD">
      <w:pPr>
        <w:widowControl w:val="0"/>
        <w:spacing w:after="0" w:line="240" w:lineRule="auto"/>
        <w:jc w:val="both"/>
        <w:rPr>
          <w:rFonts w:eastAsia="Times New Roman"/>
          <w:snapToGrid w:val="0"/>
          <w:szCs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8"/>
        <w:gridCol w:w="1219"/>
        <w:gridCol w:w="3740"/>
      </w:tblGrid>
      <w:tr w:rsidR="00183FCD" w:rsidRPr="00183FCD" w:rsidTr="00FF6B28">
        <w:trPr>
          <w:jc w:val="center"/>
        </w:trPr>
        <w:tc>
          <w:tcPr>
            <w:tcW w:w="940" w:type="dxa"/>
            <w:vAlign w:val="center"/>
          </w:tcPr>
          <w:p w:rsidR="00183FCD" w:rsidRPr="00183FCD" w:rsidRDefault="00183FCD" w:rsidP="00183FCD">
            <w:pPr>
              <w:widowControl w:val="0"/>
              <w:spacing w:after="0" w:line="240" w:lineRule="auto"/>
              <w:jc w:val="center"/>
              <w:rPr>
                <w:rFonts w:eastAsia="Times New Roman"/>
                <w:snapToGrid w:val="0"/>
                <w:szCs w:val="24"/>
                <w:lang w:val="en-US" w:eastAsia="en-US"/>
              </w:rPr>
            </w:pPr>
            <w:r w:rsidRPr="00183FCD">
              <w:rPr>
                <w:rFonts w:eastAsia="Times New Roman"/>
                <w:snapToGrid w:val="0"/>
                <w:szCs w:val="24"/>
                <w:lang w:val="en-US" w:eastAsia="en-US"/>
              </w:rPr>
              <w:t xml:space="preserve">EQ </w:t>
            </w:r>
          </w:p>
        </w:tc>
        <w:tc>
          <w:tcPr>
            <w:tcW w:w="1213" w:type="dxa"/>
            <w:vAlign w:val="center"/>
          </w:tcPr>
          <w:p w:rsidR="00183FCD" w:rsidRPr="00183FCD" w:rsidRDefault="00183FCD" w:rsidP="00183FCD">
            <w:pPr>
              <w:widowControl w:val="0"/>
              <w:spacing w:after="0" w:line="240" w:lineRule="auto"/>
              <w:jc w:val="center"/>
              <w:rPr>
                <w:rFonts w:eastAsia="Times New Roman"/>
                <w:snapToGrid w:val="0"/>
                <w:szCs w:val="24"/>
                <w:lang w:val="it-IT" w:eastAsia="en-US"/>
              </w:rPr>
            </w:pPr>
            <w:r w:rsidRPr="00183FCD">
              <w:rPr>
                <w:rFonts w:eastAsia="Times New Roman"/>
                <w:snapToGrid w:val="0"/>
                <w:szCs w:val="24"/>
                <w:lang w:val="en-US" w:eastAsia="en-US"/>
              </w:rPr>
              <w:t>535</w:t>
            </w:r>
          </w:p>
        </w:tc>
        <w:tc>
          <w:tcPr>
            <w:tcW w:w="3740" w:type="dxa"/>
            <w:vMerge w:val="restart"/>
            <w:tcBorders>
              <w:top w:val="nil"/>
              <w:bottom w:val="nil"/>
              <w:right w:val="nil"/>
            </w:tcBorders>
          </w:tcPr>
          <w:p w:rsidR="00183FCD" w:rsidRPr="00183FCD" w:rsidRDefault="00183FCD" w:rsidP="00183FCD">
            <w:pPr>
              <w:widowControl w:val="0"/>
              <w:spacing w:after="0" w:line="240" w:lineRule="auto"/>
              <w:jc w:val="center"/>
              <w:rPr>
                <w:rFonts w:eastAsia="Times New Roman"/>
                <w:noProof/>
                <w:snapToGrid w:val="0"/>
                <w:szCs w:val="24"/>
                <w:lang w:val="it-IT" w:eastAsia="it-IT"/>
              </w:rPr>
            </w:pPr>
            <w:r w:rsidRPr="00183FCD">
              <w:rPr>
                <w:rFonts w:eastAsia="Times New Roman"/>
                <w:noProof/>
                <w:snapToGrid w:val="0"/>
                <w:szCs w:val="24"/>
              </w:rPr>
              <w:drawing>
                <wp:inline distT="0" distB="0" distL="0" distR="0" wp14:anchorId="4DB419CA" wp14:editId="114E471B">
                  <wp:extent cx="2279015" cy="1426210"/>
                  <wp:effectExtent l="0" t="0" r="6985" b="2540"/>
                  <wp:docPr id="7"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9015" cy="1426210"/>
                          </a:xfrm>
                          <a:prstGeom prst="rect">
                            <a:avLst/>
                          </a:prstGeom>
                          <a:noFill/>
                          <a:ln>
                            <a:noFill/>
                          </a:ln>
                        </pic:spPr>
                      </pic:pic>
                    </a:graphicData>
                  </a:graphic>
                </wp:inline>
              </w:drawing>
            </w:r>
          </w:p>
        </w:tc>
      </w:tr>
      <w:tr w:rsidR="00183FCD" w:rsidRPr="00183FCD" w:rsidTr="00FF6B28">
        <w:tblPrEx>
          <w:tblCellMar>
            <w:left w:w="108" w:type="dxa"/>
            <w:right w:w="108" w:type="dxa"/>
          </w:tblCellMar>
        </w:tblPrEx>
        <w:trPr>
          <w:trHeight w:val="335"/>
          <w:jc w:val="center"/>
        </w:trPr>
        <w:tc>
          <w:tcPr>
            <w:tcW w:w="940" w:type="dxa"/>
            <w:vAlign w:val="center"/>
          </w:tcPr>
          <w:p w:rsidR="00183FCD" w:rsidRPr="00183FCD" w:rsidRDefault="00183FCD" w:rsidP="00183FCD">
            <w:pPr>
              <w:widowControl w:val="0"/>
              <w:spacing w:after="0" w:line="240" w:lineRule="auto"/>
              <w:jc w:val="center"/>
              <w:rPr>
                <w:rFonts w:eastAsia="Times New Roman"/>
                <w:snapToGrid w:val="0"/>
                <w:szCs w:val="24"/>
                <w:lang w:val="en-US" w:eastAsia="en-US"/>
              </w:rPr>
            </w:pPr>
            <w:r w:rsidRPr="00183FCD">
              <w:rPr>
                <w:rFonts w:eastAsia="Times New Roman"/>
                <w:snapToGrid w:val="0"/>
                <w:szCs w:val="24"/>
                <w:lang w:val="en-US" w:eastAsia="en-US"/>
              </w:rPr>
              <w:t>Location</w:t>
            </w:r>
          </w:p>
        </w:tc>
        <w:tc>
          <w:tcPr>
            <w:tcW w:w="1213" w:type="dxa"/>
            <w:vAlign w:val="center"/>
          </w:tcPr>
          <w:p w:rsidR="00183FCD" w:rsidRPr="00183FCD" w:rsidRDefault="00183FCD" w:rsidP="00183FCD">
            <w:pPr>
              <w:widowControl w:val="0"/>
              <w:spacing w:after="0" w:line="240" w:lineRule="auto"/>
              <w:jc w:val="center"/>
              <w:rPr>
                <w:rFonts w:eastAsia="Times New Roman"/>
                <w:snapToGrid w:val="0"/>
                <w:szCs w:val="24"/>
                <w:lang w:val="en-US" w:eastAsia="en-US"/>
              </w:rPr>
            </w:pPr>
            <w:r w:rsidRPr="00183FCD">
              <w:rPr>
                <w:rFonts w:eastAsia="Times New Roman"/>
                <w:snapToGrid w:val="0"/>
                <w:szCs w:val="24"/>
                <w:lang w:val="en-US" w:eastAsia="en-US"/>
              </w:rPr>
              <w:t>Erzican, Turkey</w:t>
            </w:r>
          </w:p>
        </w:tc>
        <w:tc>
          <w:tcPr>
            <w:tcW w:w="3740" w:type="dxa"/>
            <w:vMerge/>
            <w:tcBorders>
              <w:bottom w:val="nil"/>
              <w:right w:val="nil"/>
            </w:tcBorders>
          </w:tcPr>
          <w:p w:rsidR="00183FCD" w:rsidRPr="00183FCD" w:rsidRDefault="00183FCD" w:rsidP="00183FCD">
            <w:pPr>
              <w:widowControl w:val="0"/>
              <w:spacing w:after="0" w:line="240" w:lineRule="auto"/>
              <w:jc w:val="center"/>
              <w:rPr>
                <w:rFonts w:eastAsia="Times New Roman"/>
                <w:snapToGrid w:val="0"/>
                <w:szCs w:val="24"/>
                <w:lang w:val="en-US" w:eastAsia="en-US"/>
              </w:rPr>
            </w:pPr>
          </w:p>
        </w:tc>
      </w:tr>
      <w:tr w:rsidR="00183FCD" w:rsidRPr="00183FCD" w:rsidTr="00FF6B28">
        <w:tblPrEx>
          <w:tblCellMar>
            <w:left w:w="108" w:type="dxa"/>
            <w:right w:w="108" w:type="dxa"/>
          </w:tblCellMar>
        </w:tblPrEx>
        <w:trPr>
          <w:trHeight w:val="231"/>
          <w:jc w:val="center"/>
        </w:trPr>
        <w:tc>
          <w:tcPr>
            <w:tcW w:w="940" w:type="dxa"/>
            <w:vAlign w:val="center"/>
          </w:tcPr>
          <w:p w:rsidR="00183FCD" w:rsidRPr="00183FCD" w:rsidRDefault="00183FCD" w:rsidP="00183FCD">
            <w:pPr>
              <w:widowControl w:val="0"/>
              <w:spacing w:after="0" w:line="240" w:lineRule="auto"/>
              <w:jc w:val="center"/>
              <w:rPr>
                <w:rFonts w:eastAsia="Times New Roman"/>
                <w:snapToGrid w:val="0"/>
                <w:szCs w:val="24"/>
                <w:lang w:val="en-US" w:eastAsia="en-US"/>
              </w:rPr>
            </w:pPr>
            <w:r w:rsidRPr="00183FCD">
              <w:rPr>
                <w:rFonts w:eastAsia="Times New Roman"/>
                <w:snapToGrid w:val="0"/>
                <w:szCs w:val="24"/>
                <w:lang w:val="en-US" w:eastAsia="en-US"/>
              </w:rPr>
              <w:t>Date</w:t>
            </w:r>
          </w:p>
        </w:tc>
        <w:tc>
          <w:tcPr>
            <w:tcW w:w="1213" w:type="dxa"/>
            <w:vAlign w:val="center"/>
          </w:tcPr>
          <w:p w:rsidR="00183FCD" w:rsidRPr="00183FCD" w:rsidRDefault="00183FCD" w:rsidP="00183FCD">
            <w:pPr>
              <w:widowControl w:val="0"/>
              <w:spacing w:after="0" w:line="240" w:lineRule="auto"/>
              <w:jc w:val="center"/>
              <w:rPr>
                <w:rFonts w:eastAsia="Times New Roman"/>
                <w:snapToGrid w:val="0"/>
                <w:szCs w:val="24"/>
                <w:lang w:val="en-US" w:eastAsia="en-US"/>
              </w:rPr>
            </w:pPr>
            <w:r w:rsidRPr="00183FCD">
              <w:rPr>
                <w:rFonts w:eastAsia="Times New Roman"/>
                <w:snapToGrid w:val="0"/>
                <w:szCs w:val="24"/>
                <w:lang w:val="en-US" w:eastAsia="en-US"/>
              </w:rPr>
              <w:t>13/03/1992</w:t>
            </w:r>
          </w:p>
        </w:tc>
        <w:tc>
          <w:tcPr>
            <w:tcW w:w="3740" w:type="dxa"/>
            <w:vMerge/>
            <w:tcBorders>
              <w:bottom w:val="nil"/>
              <w:right w:val="nil"/>
            </w:tcBorders>
          </w:tcPr>
          <w:p w:rsidR="00183FCD" w:rsidRPr="00183FCD" w:rsidRDefault="00183FCD" w:rsidP="00183FCD">
            <w:pPr>
              <w:widowControl w:val="0"/>
              <w:spacing w:after="0" w:line="240" w:lineRule="auto"/>
              <w:jc w:val="center"/>
              <w:rPr>
                <w:rFonts w:eastAsia="Times New Roman"/>
                <w:snapToGrid w:val="0"/>
                <w:szCs w:val="24"/>
                <w:lang w:val="en-US" w:eastAsia="en-US"/>
              </w:rPr>
            </w:pPr>
          </w:p>
        </w:tc>
      </w:tr>
      <w:tr w:rsidR="00183FCD" w:rsidRPr="00183FCD" w:rsidTr="00FF6B28">
        <w:tblPrEx>
          <w:tblCellMar>
            <w:left w:w="108" w:type="dxa"/>
            <w:right w:w="108" w:type="dxa"/>
          </w:tblCellMar>
        </w:tblPrEx>
        <w:trPr>
          <w:trHeight w:val="263"/>
          <w:jc w:val="center"/>
        </w:trPr>
        <w:tc>
          <w:tcPr>
            <w:tcW w:w="940" w:type="dxa"/>
            <w:vAlign w:val="center"/>
          </w:tcPr>
          <w:p w:rsidR="00183FCD" w:rsidRPr="00183FCD" w:rsidRDefault="00183FCD" w:rsidP="00183FCD">
            <w:pPr>
              <w:widowControl w:val="0"/>
              <w:spacing w:after="0" w:line="240" w:lineRule="auto"/>
              <w:jc w:val="center"/>
              <w:rPr>
                <w:rFonts w:eastAsia="Times New Roman"/>
                <w:snapToGrid w:val="0"/>
                <w:szCs w:val="24"/>
                <w:lang w:val="en-US" w:eastAsia="en-US"/>
              </w:rPr>
            </w:pPr>
            <w:r w:rsidRPr="00183FCD">
              <w:rPr>
                <w:rFonts w:eastAsia="Times New Roman"/>
                <w:snapToGrid w:val="0"/>
                <w:szCs w:val="24"/>
                <w:lang w:val="en-US" w:eastAsia="en-US"/>
              </w:rPr>
              <w:t>M</w:t>
            </w:r>
            <w:r w:rsidRPr="00183FCD">
              <w:rPr>
                <w:rFonts w:eastAsia="Times New Roman"/>
                <w:snapToGrid w:val="0"/>
                <w:szCs w:val="24"/>
                <w:vertAlign w:val="subscript"/>
                <w:lang w:val="en-US" w:eastAsia="en-US"/>
              </w:rPr>
              <w:t>W</w:t>
            </w:r>
          </w:p>
        </w:tc>
        <w:tc>
          <w:tcPr>
            <w:tcW w:w="1213" w:type="dxa"/>
            <w:vAlign w:val="center"/>
          </w:tcPr>
          <w:p w:rsidR="00183FCD" w:rsidRPr="00183FCD" w:rsidRDefault="00183FCD" w:rsidP="00183FCD">
            <w:pPr>
              <w:widowControl w:val="0"/>
              <w:spacing w:after="0" w:line="240" w:lineRule="auto"/>
              <w:jc w:val="center"/>
              <w:rPr>
                <w:rFonts w:eastAsia="Times New Roman"/>
                <w:snapToGrid w:val="0"/>
                <w:szCs w:val="24"/>
                <w:lang w:val="en-US" w:eastAsia="en-US"/>
              </w:rPr>
            </w:pPr>
            <w:r w:rsidRPr="00183FCD">
              <w:rPr>
                <w:rFonts w:eastAsia="Times New Roman"/>
                <w:snapToGrid w:val="0"/>
                <w:szCs w:val="24"/>
                <w:lang w:val="en-US" w:eastAsia="en-US"/>
              </w:rPr>
              <w:t>6.6</w:t>
            </w:r>
          </w:p>
        </w:tc>
        <w:tc>
          <w:tcPr>
            <w:tcW w:w="3740" w:type="dxa"/>
            <w:vMerge/>
            <w:tcBorders>
              <w:bottom w:val="nil"/>
              <w:right w:val="nil"/>
            </w:tcBorders>
          </w:tcPr>
          <w:p w:rsidR="00183FCD" w:rsidRPr="00183FCD" w:rsidRDefault="00183FCD" w:rsidP="00183FCD">
            <w:pPr>
              <w:widowControl w:val="0"/>
              <w:spacing w:after="0" w:line="240" w:lineRule="auto"/>
              <w:jc w:val="center"/>
              <w:rPr>
                <w:rFonts w:eastAsia="Times New Roman"/>
                <w:snapToGrid w:val="0"/>
                <w:szCs w:val="24"/>
                <w:lang w:val="en-US" w:eastAsia="en-US"/>
              </w:rPr>
            </w:pPr>
          </w:p>
        </w:tc>
      </w:tr>
      <w:tr w:rsidR="00183FCD" w:rsidRPr="00183FCD" w:rsidTr="00FF6B28">
        <w:tblPrEx>
          <w:tblCellMar>
            <w:left w:w="108" w:type="dxa"/>
            <w:right w:w="108" w:type="dxa"/>
          </w:tblCellMar>
        </w:tblPrEx>
        <w:trPr>
          <w:trHeight w:val="263"/>
          <w:jc w:val="center"/>
        </w:trPr>
        <w:tc>
          <w:tcPr>
            <w:tcW w:w="940" w:type="dxa"/>
            <w:vAlign w:val="center"/>
          </w:tcPr>
          <w:p w:rsidR="00183FCD" w:rsidRPr="00183FCD" w:rsidRDefault="00183FCD" w:rsidP="00183FCD">
            <w:pPr>
              <w:widowControl w:val="0"/>
              <w:spacing w:after="0" w:line="240" w:lineRule="auto"/>
              <w:jc w:val="center"/>
              <w:rPr>
                <w:rFonts w:eastAsia="Times New Roman"/>
                <w:snapToGrid w:val="0"/>
                <w:szCs w:val="24"/>
                <w:lang w:val="en-US" w:eastAsia="en-US"/>
              </w:rPr>
            </w:pPr>
            <w:r w:rsidRPr="00183FCD">
              <w:rPr>
                <w:rFonts w:eastAsia="Times New Roman"/>
                <w:snapToGrid w:val="0"/>
                <w:szCs w:val="24"/>
                <w:lang w:val="en-US" w:eastAsia="en-US"/>
              </w:rPr>
              <w:t>PGA (g)</w:t>
            </w:r>
          </w:p>
        </w:tc>
        <w:tc>
          <w:tcPr>
            <w:tcW w:w="1213" w:type="dxa"/>
            <w:vAlign w:val="center"/>
          </w:tcPr>
          <w:p w:rsidR="00183FCD" w:rsidRPr="00183FCD" w:rsidRDefault="00183FCD" w:rsidP="00183FCD">
            <w:pPr>
              <w:widowControl w:val="0"/>
              <w:spacing w:after="0" w:line="240" w:lineRule="auto"/>
              <w:jc w:val="center"/>
              <w:rPr>
                <w:rFonts w:eastAsia="Times New Roman"/>
                <w:snapToGrid w:val="0"/>
                <w:szCs w:val="24"/>
                <w:lang w:val="en-US" w:eastAsia="en-US"/>
              </w:rPr>
            </w:pPr>
            <w:r w:rsidRPr="00183FCD">
              <w:rPr>
                <w:rFonts w:eastAsia="Times New Roman"/>
                <w:snapToGrid w:val="0"/>
                <w:szCs w:val="24"/>
                <w:lang w:val="en-US" w:eastAsia="en-US"/>
              </w:rPr>
              <w:t>0.769</w:t>
            </w:r>
          </w:p>
        </w:tc>
        <w:tc>
          <w:tcPr>
            <w:tcW w:w="3740" w:type="dxa"/>
            <w:vMerge/>
            <w:tcBorders>
              <w:bottom w:val="nil"/>
              <w:right w:val="nil"/>
            </w:tcBorders>
          </w:tcPr>
          <w:p w:rsidR="00183FCD" w:rsidRPr="00183FCD" w:rsidRDefault="00183FCD" w:rsidP="00183FCD">
            <w:pPr>
              <w:widowControl w:val="0"/>
              <w:spacing w:after="0" w:line="240" w:lineRule="auto"/>
              <w:jc w:val="center"/>
              <w:rPr>
                <w:rFonts w:eastAsia="Times New Roman"/>
                <w:snapToGrid w:val="0"/>
                <w:szCs w:val="24"/>
                <w:lang w:val="en-US" w:eastAsia="en-US"/>
              </w:rPr>
            </w:pPr>
          </w:p>
        </w:tc>
      </w:tr>
      <w:tr w:rsidR="00183FCD" w:rsidRPr="00183FCD" w:rsidTr="00FF6B28">
        <w:tblPrEx>
          <w:tblCellMar>
            <w:left w:w="108" w:type="dxa"/>
            <w:right w:w="108" w:type="dxa"/>
          </w:tblCellMar>
        </w:tblPrEx>
        <w:trPr>
          <w:trHeight w:val="183"/>
          <w:jc w:val="center"/>
        </w:trPr>
        <w:tc>
          <w:tcPr>
            <w:tcW w:w="940" w:type="dxa"/>
            <w:tcBorders>
              <w:bottom w:val="single" w:sz="4" w:space="0" w:color="auto"/>
            </w:tcBorders>
            <w:vAlign w:val="center"/>
          </w:tcPr>
          <w:p w:rsidR="00183FCD" w:rsidRPr="00183FCD" w:rsidRDefault="00183FCD" w:rsidP="00183FCD">
            <w:pPr>
              <w:widowControl w:val="0"/>
              <w:spacing w:after="0" w:line="240" w:lineRule="auto"/>
              <w:jc w:val="center"/>
              <w:rPr>
                <w:rFonts w:eastAsia="Times New Roman"/>
                <w:snapToGrid w:val="0"/>
                <w:szCs w:val="24"/>
                <w:lang w:val="en-US" w:eastAsia="en-US"/>
              </w:rPr>
            </w:pPr>
            <w:r w:rsidRPr="00183FCD">
              <w:rPr>
                <w:rFonts w:eastAsia="Times New Roman"/>
                <w:snapToGrid w:val="0"/>
                <w:szCs w:val="24"/>
                <w:lang w:val="en-US" w:eastAsia="en-US"/>
              </w:rPr>
              <w:t>Scale Factor</w:t>
            </w:r>
          </w:p>
        </w:tc>
        <w:tc>
          <w:tcPr>
            <w:tcW w:w="1213" w:type="dxa"/>
            <w:tcBorders>
              <w:bottom w:val="single" w:sz="4" w:space="0" w:color="auto"/>
            </w:tcBorders>
            <w:vAlign w:val="center"/>
          </w:tcPr>
          <w:p w:rsidR="00183FCD" w:rsidRPr="00183FCD" w:rsidRDefault="00183FCD" w:rsidP="00183FCD">
            <w:pPr>
              <w:widowControl w:val="0"/>
              <w:spacing w:after="0" w:line="240" w:lineRule="auto"/>
              <w:jc w:val="center"/>
              <w:rPr>
                <w:rFonts w:eastAsia="Times New Roman"/>
                <w:snapToGrid w:val="0"/>
                <w:szCs w:val="24"/>
                <w:lang w:val="en-US" w:eastAsia="en-US"/>
              </w:rPr>
            </w:pPr>
            <w:r w:rsidRPr="00183FCD">
              <w:rPr>
                <w:rFonts w:eastAsia="Times New Roman"/>
                <w:snapToGrid w:val="0"/>
                <w:szCs w:val="24"/>
                <w:lang w:val="en-US" w:eastAsia="en-US"/>
              </w:rPr>
              <w:t>1.5</w:t>
            </w:r>
          </w:p>
        </w:tc>
        <w:tc>
          <w:tcPr>
            <w:tcW w:w="3740" w:type="dxa"/>
            <w:vMerge/>
            <w:tcBorders>
              <w:bottom w:val="nil"/>
              <w:right w:val="nil"/>
            </w:tcBorders>
          </w:tcPr>
          <w:p w:rsidR="00183FCD" w:rsidRPr="00183FCD" w:rsidRDefault="00183FCD" w:rsidP="00183FCD">
            <w:pPr>
              <w:widowControl w:val="0"/>
              <w:spacing w:after="0" w:line="240" w:lineRule="auto"/>
              <w:jc w:val="center"/>
              <w:rPr>
                <w:rFonts w:eastAsia="Times New Roman"/>
                <w:snapToGrid w:val="0"/>
                <w:szCs w:val="24"/>
                <w:lang w:val="en-US" w:eastAsia="en-US"/>
              </w:rPr>
            </w:pPr>
          </w:p>
        </w:tc>
      </w:tr>
      <w:tr w:rsidR="00183FCD" w:rsidRPr="00183FCD" w:rsidTr="00FF6B28">
        <w:tblPrEx>
          <w:tblCellMar>
            <w:left w:w="108" w:type="dxa"/>
            <w:right w:w="108" w:type="dxa"/>
          </w:tblCellMar>
        </w:tblPrEx>
        <w:trPr>
          <w:trHeight w:val="337"/>
          <w:jc w:val="center"/>
        </w:trPr>
        <w:tc>
          <w:tcPr>
            <w:tcW w:w="940" w:type="dxa"/>
            <w:tcBorders>
              <w:left w:val="nil"/>
              <w:bottom w:val="nil"/>
              <w:right w:val="nil"/>
            </w:tcBorders>
            <w:vAlign w:val="center"/>
          </w:tcPr>
          <w:p w:rsidR="00183FCD" w:rsidRPr="00183FCD" w:rsidRDefault="00183FCD" w:rsidP="00183FCD">
            <w:pPr>
              <w:widowControl w:val="0"/>
              <w:spacing w:after="0" w:line="240" w:lineRule="auto"/>
              <w:jc w:val="center"/>
              <w:rPr>
                <w:rFonts w:eastAsia="Times New Roman"/>
                <w:snapToGrid w:val="0"/>
                <w:szCs w:val="24"/>
                <w:lang w:val="en-US" w:eastAsia="en-US"/>
              </w:rPr>
            </w:pPr>
          </w:p>
        </w:tc>
        <w:tc>
          <w:tcPr>
            <w:tcW w:w="1213" w:type="dxa"/>
            <w:tcBorders>
              <w:left w:val="nil"/>
              <w:bottom w:val="nil"/>
              <w:right w:val="nil"/>
            </w:tcBorders>
            <w:vAlign w:val="center"/>
          </w:tcPr>
          <w:p w:rsidR="00183FCD" w:rsidRPr="00183FCD" w:rsidRDefault="00183FCD" w:rsidP="00183FCD">
            <w:pPr>
              <w:widowControl w:val="0"/>
              <w:spacing w:after="0" w:line="240" w:lineRule="auto"/>
              <w:jc w:val="center"/>
              <w:rPr>
                <w:rFonts w:eastAsia="Times New Roman"/>
                <w:snapToGrid w:val="0"/>
                <w:szCs w:val="24"/>
                <w:lang w:val="en-US" w:eastAsia="en-US"/>
              </w:rPr>
            </w:pPr>
          </w:p>
        </w:tc>
        <w:tc>
          <w:tcPr>
            <w:tcW w:w="3740" w:type="dxa"/>
            <w:vMerge/>
            <w:tcBorders>
              <w:left w:val="nil"/>
              <w:bottom w:val="nil"/>
              <w:right w:val="nil"/>
            </w:tcBorders>
          </w:tcPr>
          <w:p w:rsidR="00183FCD" w:rsidRPr="00183FCD" w:rsidRDefault="00183FCD" w:rsidP="00183FCD">
            <w:pPr>
              <w:widowControl w:val="0"/>
              <w:spacing w:after="0" w:line="240" w:lineRule="auto"/>
              <w:jc w:val="center"/>
              <w:rPr>
                <w:rFonts w:eastAsia="Times New Roman"/>
                <w:snapToGrid w:val="0"/>
                <w:szCs w:val="24"/>
                <w:lang w:val="en-US" w:eastAsia="en-US"/>
              </w:rPr>
            </w:pPr>
          </w:p>
        </w:tc>
      </w:tr>
    </w:tbl>
    <w:p w:rsidR="00183FCD" w:rsidRPr="00183FCD" w:rsidRDefault="00183FCD" w:rsidP="00183FCD">
      <w:pPr>
        <w:widowControl w:val="0"/>
        <w:spacing w:after="0" w:line="240" w:lineRule="auto"/>
        <w:jc w:val="both"/>
        <w:rPr>
          <w:rFonts w:eastAsia="Times New Roman"/>
          <w:snapToGrid w:val="0"/>
          <w:szCs w:val="24"/>
          <w:lang w:val="en-GB" w:eastAsia="en-US"/>
        </w:rPr>
      </w:pPr>
    </w:p>
    <w:p w:rsidR="00183FCD" w:rsidRPr="00183FCD" w:rsidRDefault="00183FCD" w:rsidP="00183FCD">
      <w:pPr>
        <w:widowControl w:val="0"/>
        <w:spacing w:after="0" w:line="240" w:lineRule="auto"/>
        <w:jc w:val="center"/>
        <w:rPr>
          <w:rFonts w:eastAsia="Times New Roman"/>
          <w:snapToGrid w:val="0"/>
          <w:sz w:val="20"/>
          <w:szCs w:val="24"/>
          <w:lang w:val="en-US" w:eastAsia="en-US"/>
        </w:rPr>
      </w:pPr>
      <w:r w:rsidRPr="00183FCD">
        <w:rPr>
          <w:rFonts w:eastAsia="Times New Roman"/>
          <w:snapToGrid w:val="0"/>
          <w:sz w:val="20"/>
          <w:szCs w:val="24"/>
          <w:lang w:val="en-US" w:eastAsia="en-US"/>
        </w:rPr>
        <w:t>Figure 2. Comparison between acceleration response spectra for SLE and DBE by code and 535 seismic input at 25% and 100% of PGA level.</w:t>
      </w:r>
    </w:p>
    <w:p w:rsidR="00183FCD" w:rsidRPr="00183FCD" w:rsidRDefault="00183FCD" w:rsidP="00183FCD">
      <w:pPr>
        <w:widowControl w:val="0"/>
        <w:spacing w:after="0" w:line="240" w:lineRule="auto"/>
        <w:jc w:val="both"/>
        <w:rPr>
          <w:rFonts w:eastAsia="Times New Roman"/>
          <w:snapToGrid w:val="0"/>
          <w:szCs w:val="24"/>
          <w:lang w:val="en-US" w:eastAsia="en-US"/>
        </w:rPr>
      </w:pPr>
    </w:p>
    <w:p w:rsidR="00183FCD" w:rsidRPr="00183FCD" w:rsidRDefault="00183FCD" w:rsidP="00183FCD">
      <w:pPr>
        <w:widowControl w:val="0"/>
        <w:spacing w:after="0" w:line="240" w:lineRule="auto"/>
        <w:jc w:val="both"/>
        <w:rPr>
          <w:rFonts w:eastAsia="Times New Roman"/>
          <w:snapToGrid w:val="0"/>
          <w:szCs w:val="24"/>
          <w:lang w:val="en-GB" w:eastAsia="en-US"/>
        </w:rPr>
      </w:pPr>
    </w:p>
    <w:p w:rsidR="00183FCD" w:rsidRPr="00183FCD" w:rsidRDefault="00183FCD" w:rsidP="00183FC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183FCD">
        <w:rPr>
          <w:rFonts w:eastAsia="Times New Roman"/>
          <w:b/>
          <w:caps/>
          <w:snapToGrid w:val="0"/>
          <w:szCs w:val="24"/>
          <w:lang w:val="en-US" w:eastAsia="en-US"/>
        </w:rPr>
        <w:t>3. NUMERICAL MODELLING</w:t>
      </w:r>
    </w:p>
    <w:p w:rsidR="00183FCD" w:rsidRPr="00183FCD" w:rsidRDefault="00183FCD" w:rsidP="00183FCD">
      <w:pPr>
        <w:widowControl w:val="0"/>
        <w:spacing w:after="0" w:line="240" w:lineRule="auto"/>
        <w:jc w:val="both"/>
        <w:rPr>
          <w:rFonts w:eastAsia="Times New Roman"/>
          <w:snapToGrid w:val="0"/>
          <w:szCs w:val="24"/>
          <w:lang w:val="en-GB" w:eastAsia="en-US"/>
        </w:rPr>
      </w:pPr>
    </w:p>
    <w:p w:rsidR="00183FCD" w:rsidRPr="00183FCD" w:rsidRDefault="00183FCD" w:rsidP="00183FCD">
      <w:pPr>
        <w:widowControl w:val="0"/>
        <w:spacing w:after="0" w:line="240" w:lineRule="auto"/>
        <w:jc w:val="both"/>
        <w:rPr>
          <w:rFonts w:eastAsia="Times New Roman"/>
          <w:snapToGrid w:val="0"/>
          <w:szCs w:val="24"/>
          <w:lang w:val="en-US" w:eastAsia="en-US"/>
        </w:rPr>
      </w:pPr>
      <w:r w:rsidRPr="00183FCD">
        <w:rPr>
          <w:rFonts w:eastAsia="Times New Roman"/>
          <w:snapToGrid w:val="0"/>
          <w:szCs w:val="24"/>
          <w:lang w:val="en-GB" w:eastAsia="en-US"/>
        </w:rPr>
        <w:t xml:space="preserve">The numerical modelling of the test frame with dissipative bracing systems was developed using a lumped plasticity approach which combines the use of elastic elements with linear or rotational springs representing plastic deformations in the system. The braced frame has been modelled by SAP2000 (CSI 2014), using frame-type 2D finite elements shown in Figure 3a. The structural elements (beams, columns and braces) </w:t>
      </w:r>
      <w:r w:rsidRPr="00183FCD">
        <w:rPr>
          <w:rFonts w:eastAsia="Times New Roman"/>
          <w:snapToGrid w:val="0"/>
          <w:szCs w:val="24"/>
          <w:lang w:val="en-GB" w:eastAsia="en-US"/>
        </w:rPr>
        <w:lastRenderedPageBreak/>
        <w:t xml:space="preserve">were modelled as elastic elements with anisotropic glulam timber material. The connection between beam and column was modelled considering a combination of rotational springs to represent the contribution of the post-tensioning and the flexibility of the joint panel. Post-tensioning response was represented using tri-linear-elastic moment–rotation springs and the joint panel was accounted for introducing an additional linear rotational spring (Figure 3b), with stiffness value opportunely arranged on the preliminary shaking table tests (Di Cesare et al. 2019b). The column base connection was modelled with 3 rotational springs in parallel (Figure 3c), which considered the moment resistance given by the contribution of the gravity plus seismic axial load and the additional moment contribution of hysteretic steel elements (Ponzo et al. 2017). </w:t>
      </w:r>
      <w:r w:rsidRPr="00183FCD">
        <w:rPr>
          <w:rFonts w:eastAsia="Times New Roman"/>
          <w:snapToGrid w:val="0"/>
          <w:szCs w:val="24"/>
          <w:lang w:val="en-US" w:eastAsia="en-US"/>
        </w:rPr>
        <w:t xml:space="preserve">Finally, the nonlinear force-displacement hysteretic behavior of the UFP dampers was modeled by using link elements connecting the elastic beam and V-inverted braces (Figure 3d), characterized by the Bouc-Wen cyclic laws (Bouc 1967; Wen 1976). More specifically, the post-yield stiffness ratio was assumed equal to 7%, while the yielding exponent, which regulates the shape of the hysteresis loop, was considered equal to 2. The constitutive laws of rotational springs and nonlinear links are represented in Figure 3e. </w:t>
      </w:r>
    </w:p>
    <w:p w:rsidR="00183FCD" w:rsidRPr="00183FCD" w:rsidRDefault="00183FCD" w:rsidP="00183FCD">
      <w:pPr>
        <w:widowControl w:val="0"/>
        <w:spacing w:after="0" w:line="240" w:lineRule="auto"/>
        <w:jc w:val="both"/>
        <w:rPr>
          <w:rFonts w:eastAsia="Times New Roman"/>
          <w:snapToGrid w:val="0"/>
          <w:szCs w:val="24"/>
          <w:lang w:val="en-US" w:eastAsia="en-US"/>
        </w:rPr>
      </w:pPr>
    </w:p>
    <w:tbl>
      <w:tblPr>
        <w:tblW w:w="9356" w:type="dxa"/>
        <w:jc w:val="center"/>
        <w:tblLayout w:type="fixed"/>
        <w:tblLook w:val="01E0" w:firstRow="1" w:lastRow="1" w:firstColumn="1" w:lastColumn="1" w:noHBand="0" w:noVBand="0"/>
      </w:tblPr>
      <w:tblGrid>
        <w:gridCol w:w="5353"/>
        <w:gridCol w:w="4003"/>
      </w:tblGrid>
      <w:tr w:rsidR="00183FCD" w:rsidRPr="00183FCD" w:rsidTr="00FF6B28">
        <w:trPr>
          <w:trHeight w:val="5078"/>
          <w:jc w:val="center"/>
        </w:trPr>
        <w:tc>
          <w:tcPr>
            <w:tcW w:w="5353" w:type="dxa"/>
            <w:shd w:val="clear" w:color="auto" w:fill="auto"/>
            <w:vAlign w:val="center"/>
          </w:tcPr>
          <w:p w:rsidR="00183FCD" w:rsidRPr="00183FCD" w:rsidRDefault="00183FCD" w:rsidP="00183FCD">
            <w:pPr>
              <w:widowControl w:val="0"/>
              <w:tabs>
                <w:tab w:val="left" w:pos="567"/>
              </w:tabs>
              <w:spacing w:after="0" w:line="240" w:lineRule="auto"/>
              <w:jc w:val="center"/>
              <w:rPr>
                <w:rFonts w:ascii="Times" w:eastAsia="Times New Roman" w:hAnsi="Times"/>
                <w:snapToGrid w:val="0"/>
                <w:color w:val="000000"/>
                <w:sz w:val="20"/>
                <w:szCs w:val="24"/>
                <w:lang w:val="en-US" w:eastAsia="en-US"/>
              </w:rPr>
            </w:pPr>
            <w:r w:rsidRPr="00183FCD">
              <w:rPr>
                <w:rFonts w:ascii="Times" w:eastAsia="Times New Roman" w:hAnsi="Times"/>
                <w:snapToGrid w:val="0"/>
                <w:color w:val="000000"/>
                <w:sz w:val="20"/>
                <w:szCs w:val="24"/>
                <w:lang w:val="en-GB" w:eastAsia="en-US"/>
              </w:rPr>
              <w:t xml:space="preserve">(a) </w:t>
            </w:r>
            <w:r w:rsidRPr="00183FCD">
              <w:rPr>
                <w:rFonts w:ascii="Times" w:eastAsia="Times New Roman" w:hAnsi="Times"/>
                <w:noProof/>
                <w:snapToGrid w:val="0"/>
                <w:color w:val="000000"/>
                <w:sz w:val="20"/>
                <w:szCs w:val="24"/>
              </w:rPr>
              <w:drawing>
                <wp:inline distT="0" distB="0" distL="0" distR="0" wp14:anchorId="030A9FCB" wp14:editId="49A0DF13">
                  <wp:extent cx="2685984" cy="2908245"/>
                  <wp:effectExtent l="0" t="0" r="635" b="698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546" r="33684"/>
                          <a:stretch/>
                        </pic:blipFill>
                        <pic:spPr bwMode="auto">
                          <a:xfrm>
                            <a:off x="0" y="0"/>
                            <a:ext cx="2726354" cy="2951955"/>
                          </a:xfrm>
                          <a:prstGeom prst="rect">
                            <a:avLst/>
                          </a:prstGeom>
                          <a:noFill/>
                          <a:ln>
                            <a:noFill/>
                          </a:ln>
                          <a:extLst>
                            <a:ext uri="{53640926-AAD7-44D8-BBD7-CCE9431645EC}">
                              <a14:shadowObscured xmlns:a14="http://schemas.microsoft.com/office/drawing/2010/main"/>
                            </a:ext>
                          </a:extLst>
                        </pic:spPr>
                      </pic:pic>
                    </a:graphicData>
                  </a:graphic>
                </wp:inline>
              </w:drawing>
            </w:r>
            <w:r w:rsidRPr="00183FCD">
              <w:rPr>
                <w:rFonts w:ascii="Times" w:eastAsia="Times New Roman" w:hAnsi="Times"/>
                <w:snapToGrid w:val="0"/>
                <w:color w:val="000000"/>
                <w:sz w:val="20"/>
                <w:szCs w:val="24"/>
                <w:lang w:val="en-US" w:eastAsia="en-US"/>
              </w:rPr>
              <w:t xml:space="preserve"> </w:t>
            </w:r>
          </w:p>
          <w:p w:rsidR="00183FCD" w:rsidRPr="00183FCD" w:rsidRDefault="00183FCD" w:rsidP="00183FCD">
            <w:pPr>
              <w:widowControl w:val="0"/>
              <w:tabs>
                <w:tab w:val="left" w:pos="567"/>
              </w:tabs>
              <w:spacing w:after="0" w:line="240" w:lineRule="auto"/>
              <w:jc w:val="center"/>
              <w:rPr>
                <w:rFonts w:ascii="Times" w:eastAsia="Times New Roman" w:hAnsi="Times"/>
                <w:snapToGrid w:val="0"/>
                <w:color w:val="000000"/>
                <w:sz w:val="20"/>
                <w:szCs w:val="24"/>
                <w:lang w:val="en-US" w:eastAsia="en-US"/>
              </w:rPr>
            </w:pPr>
          </w:p>
          <w:p w:rsidR="00183FCD" w:rsidRPr="00183FCD" w:rsidRDefault="00183FCD" w:rsidP="00183FCD">
            <w:pPr>
              <w:widowControl w:val="0"/>
              <w:tabs>
                <w:tab w:val="left" w:pos="567"/>
              </w:tabs>
              <w:spacing w:after="0" w:line="240" w:lineRule="auto"/>
              <w:jc w:val="center"/>
              <w:rPr>
                <w:rFonts w:ascii="Times" w:eastAsia="Times New Roman" w:hAnsi="Times"/>
                <w:snapToGrid w:val="0"/>
                <w:color w:val="000000"/>
                <w:sz w:val="20"/>
                <w:szCs w:val="24"/>
                <w:lang w:val="en-US" w:eastAsia="en-US"/>
              </w:rPr>
            </w:pPr>
            <w:r w:rsidRPr="00183FCD">
              <w:rPr>
                <w:rFonts w:ascii="Times" w:eastAsia="Times New Roman" w:hAnsi="Times"/>
                <w:noProof/>
                <w:snapToGrid w:val="0"/>
                <w:color w:val="FF0000"/>
                <w:sz w:val="20"/>
                <w:szCs w:val="24"/>
              </w:rPr>
              <w:drawing>
                <wp:inline distT="0" distB="0" distL="0" distR="0" wp14:anchorId="3B9ABBD0" wp14:editId="3A23F839">
                  <wp:extent cx="2946400" cy="1307958"/>
                  <wp:effectExtent l="0" t="0" r="6350" b="0"/>
                  <wp:docPr id="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254" r="41841" b="11720"/>
                          <a:stretch/>
                        </pic:blipFill>
                        <pic:spPr bwMode="auto">
                          <a:xfrm>
                            <a:off x="0" y="0"/>
                            <a:ext cx="2950391" cy="1309730"/>
                          </a:xfrm>
                          <a:prstGeom prst="rect">
                            <a:avLst/>
                          </a:prstGeom>
                          <a:noFill/>
                          <a:ln>
                            <a:noFill/>
                          </a:ln>
                          <a:extLst>
                            <a:ext uri="{53640926-AAD7-44D8-BBD7-CCE9431645EC}">
                              <a14:shadowObscured xmlns:a14="http://schemas.microsoft.com/office/drawing/2010/main"/>
                            </a:ext>
                          </a:extLst>
                        </pic:spPr>
                      </pic:pic>
                    </a:graphicData>
                  </a:graphic>
                </wp:inline>
              </w:drawing>
            </w:r>
          </w:p>
          <w:p w:rsidR="00183FCD" w:rsidRPr="00183FCD" w:rsidRDefault="00183FCD" w:rsidP="00183FCD">
            <w:pPr>
              <w:widowControl w:val="0"/>
              <w:tabs>
                <w:tab w:val="left" w:pos="567"/>
              </w:tabs>
              <w:spacing w:after="0" w:line="240" w:lineRule="auto"/>
              <w:jc w:val="center"/>
              <w:rPr>
                <w:rFonts w:ascii="Times" w:eastAsia="Times New Roman" w:hAnsi="Times"/>
                <w:snapToGrid w:val="0"/>
                <w:color w:val="000000"/>
                <w:sz w:val="20"/>
                <w:szCs w:val="24"/>
                <w:lang w:val="en-US" w:eastAsia="en-US"/>
              </w:rPr>
            </w:pPr>
            <w:r w:rsidRPr="00183FCD">
              <w:rPr>
                <w:rFonts w:ascii="Times" w:eastAsia="Times New Roman" w:hAnsi="Times"/>
                <w:snapToGrid w:val="0"/>
                <w:color w:val="000000"/>
                <w:sz w:val="20"/>
                <w:szCs w:val="24"/>
                <w:lang w:val="en-US" w:eastAsia="en-US"/>
              </w:rPr>
              <w:t xml:space="preserve">(e) </w:t>
            </w:r>
            <w:r w:rsidRPr="00183FCD">
              <w:rPr>
                <w:rFonts w:ascii="Times" w:eastAsia="Times New Roman" w:hAnsi="Times"/>
                <w:noProof/>
                <w:snapToGrid w:val="0"/>
                <w:color w:val="FF0000"/>
                <w:sz w:val="20"/>
                <w:szCs w:val="24"/>
              </w:rPr>
              <w:drawing>
                <wp:inline distT="0" distB="0" distL="0" distR="0" wp14:anchorId="10F67E7F" wp14:editId="5B5F952B">
                  <wp:extent cx="2004695" cy="1307958"/>
                  <wp:effectExtent l="0" t="0" r="0" b="0"/>
                  <wp:docPr id="1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961" r="10806" b="11720"/>
                          <a:stretch/>
                        </pic:blipFill>
                        <pic:spPr bwMode="auto">
                          <a:xfrm>
                            <a:off x="0" y="0"/>
                            <a:ext cx="2007410" cy="1309730"/>
                          </a:xfrm>
                          <a:prstGeom prst="rect">
                            <a:avLst/>
                          </a:prstGeom>
                          <a:noFill/>
                          <a:ln>
                            <a:noFill/>
                          </a:ln>
                          <a:extLst>
                            <a:ext uri="{53640926-AAD7-44D8-BBD7-CCE9431645EC}">
                              <a14:shadowObscured xmlns:a14="http://schemas.microsoft.com/office/drawing/2010/main"/>
                            </a:ext>
                          </a:extLst>
                        </pic:spPr>
                      </pic:pic>
                    </a:graphicData>
                  </a:graphic>
                </wp:inline>
              </w:drawing>
            </w:r>
            <w:r w:rsidRPr="00183FCD">
              <w:rPr>
                <w:rFonts w:ascii="Times" w:eastAsia="Times New Roman" w:hAnsi="Times"/>
                <w:noProof/>
                <w:snapToGrid w:val="0"/>
                <w:color w:val="FF0000"/>
                <w:sz w:val="20"/>
                <w:szCs w:val="24"/>
              </w:rPr>
              <w:drawing>
                <wp:inline distT="0" distB="0" distL="0" distR="0" wp14:anchorId="7CEA73F3" wp14:editId="496F2F9B">
                  <wp:extent cx="1041400" cy="1275612"/>
                  <wp:effectExtent l="0" t="0" r="6350" b="0"/>
                  <wp:docPr id="1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772" t="16986" r="43752" b="-13191"/>
                          <a:stretch/>
                        </pic:blipFill>
                        <pic:spPr bwMode="auto">
                          <a:xfrm>
                            <a:off x="0" y="0"/>
                            <a:ext cx="1073956" cy="1315490"/>
                          </a:xfrm>
                          <a:prstGeom prst="rect">
                            <a:avLst/>
                          </a:prstGeom>
                          <a:noFill/>
                          <a:ln>
                            <a:noFill/>
                          </a:ln>
                          <a:extLst>
                            <a:ext uri="{53640926-AAD7-44D8-BBD7-CCE9431645EC}">
                              <a14:shadowObscured xmlns:a14="http://schemas.microsoft.com/office/drawing/2010/main"/>
                            </a:ext>
                          </a:extLst>
                        </pic:spPr>
                      </pic:pic>
                    </a:graphicData>
                  </a:graphic>
                </wp:inline>
              </w:drawing>
            </w:r>
            <w:r w:rsidRPr="00183FCD">
              <w:rPr>
                <w:rFonts w:ascii="Times" w:eastAsia="Times New Roman" w:hAnsi="Times"/>
                <w:snapToGrid w:val="0"/>
                <w:color w:val="000000"/>
                <w:sz w:val="20"/>
                <w:szCs w:val="24"/>
                <w:lang w:val="en-US" w:eastAsia="en-US"/>
              </w:rPr>
              <w:t xml:space="preserve">  </w:t>
            </w:r>
          </w:p>
        </w:tc>
        <w:tc>
          <w:tcPr>
            <w:tcW w:w="4003" w:type="dxa"/>
            <w:shd w:val="clear" w:color="auto" w:fill="auto"/>
            <w:vAlign w:val="center"/>
          </w:tcPr>
          <w:p w:rsidR="00183FCD" w:rsidRPr="00183FCD" w:rsidRDefault="00183FCD" w:rsidP="00183FCD">
            <w:pPr>
              <w:widowControl w:val="0"/>
              <w:tabs>
                <w:tab w:val="left" w:pos="567"/>
              </w:tabs>
              <w:spacing w:after="0" w:line="240" w:lineRule="auto"/>
              <w:jc w:val="both"/>
              <w:rPr>
                <w:rFonts w:ascii="Times" w:eastAsia="Times New Roman" w:hAnsi="Times"/>
                <w:noProof/>
                <w:snapToGrid w:val="0"/>
                <w:sz w:val="20"/>
                <w:szCs w:val="24"/>
                <w:lang w:val="it-IT" w:eastAsia="it-IT"/>
              </w:rPr>
            </w:pPr>
            <w:r w:rsidRPr="00183FCD">
              <w:rPr>
                <w:rFonts w:ascii="Times" w:eastAsia="Times New Roman" w:hAnsi="Times"/>
                <w:snapToGrid w:val="0"/>
                <w:color w:val="000000"/>
                <w:sz w:val="20"/>
                <w:szCs w:val="24"/>
                <w:lang w:val="en-US" w:eastAsia="en-US"/>
              </w:rPr>
              <w:t>(b)</w:t>
            </w:r>
            <w:r w:rsidRPr="00183FCD">
              <w:rPr>
                <w:rFonts w:ascii="Times" w:eastAsia="Times New Roman" w:hAnsi="Times"/>
                <w:noProof/>
                <w:snapToGrid w:val="0"/>
                <w:sz w:val="20"/>
                <w:szCs w:val="24"/>
                <w:lang w:val="it-IT" w:eastAsia="it-IT"/>
              </w:rPr>
              <w:t xml:space="preserve"> </w:t>
            </w:r>
            <w:r w:rsidRPr="00183FCD">
              <w:rPr>
                <w:rFonts w:ascii="Times" w:eastAsia="Times New Roman" w:hAnsi="Times"/>
                <w:noProof/>
                <w:snapToGrid w:val="0"/>
                <w:sz w:val="20"/>
                <w:szCs w:val="24"/>
              </w:rPr>
              <w:drawing>
                <wp:inline distT="0" distB="0" distL="0" distR="0" wp14:anchorId="49823097" wp14:editId="228EDE2F">
                  <wp:extent cx="2136353" cy="1565638"/>
                  <wp:effectExtent l="0" t="0" r="0" b="0"/>
                  <wp:docPr id="1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487" t="2868" r="50360" b="45023"/>
                          <a:stretch/>
                        </pic:blipFill>
                        <pic:spPr bwMode="auto">
                          <a:xfrm>
                            <a:off x="0" y="0"/>
                            <a:ext cx="2151454" cy="1576705"/>
                          </a:xfrm>
                          <a:prstGeom prst="rect">
                            <a:avLst/>
                          </a:prstGeom>
                          <a:noFill/>
                          <a:ln>
                            <a:noFill/>
                          </a:ln>
                          <a:extLst>
                            <a:ext uri="{53640926-AAD7-44D8-BBD7-CCE9431645EC}">
                              <a14:shadowObscured xmlns:a14="http://schemas.microsoft.com/office/drawing/2010/main"/>
                            </a:ext>
                          </a:extLst>
                        </pic:spPr>
                      </pic:pic>
                    </a:graphicData>
                  </a:graphic>
                </wp:inline>
              </w:drawing>
            </w:r>
          </w:p>
          <w:p w:rsidR="00183FCD" w:rsidRPr="00183FCD" w:rsidRDefault="00183FCD" w:rsidP="00183FCD">
            <w:pPr>
              <w:widowControl w:val="0"/>
              <w:tabs>
                <w:tab w:val="left" w:pos="567"/>
              </w:tabs>
              <w:spacing w:after="0" w:line="240" w:lineRule="auto"/>
              <w:jc w:val="both"/>
              <w:rPr>
                <w:rFonts w:ascii="Times" w:eastAsia="Times New Roman" w:hAnsi="Times"/>
                <w:noProof/>
                <w:snapToGrid w:val="0"/>
                <w:sz w:val="20"/>
                <w:szCs w:val="24"/>
                <w:lang w:val="it-IT" w:eastAsia="it-IT"/>
              </w:rPr>
            </w:pPr>
            <w:r w:rsidRPr="00183FCD">
              <w:rPr>
                <w:rFonts w:ascii="Times" w:eastAsia="Times New Roman" w:hAnsi="Times"/>
                <w:noProof/>
                <w:snapToGrid w:val="0"/>
                <w:sz w:val="20"/>
                <w:szCs w:val="24"/>
                <w:lang w:val="it-IT" w:eastAsia="it-IT"/>
              </w:rPr>
              <w:t xml:space="preserve">(c) </w:t>
            </w:r>
            <w:r w:rsidRPr="00183FCD">
              <w:rPr>
                <w:rFonts w:ascii="Times" w:eastAsia="Times New Roman" w:hAnsi="Times"/>
                <w:noProof/>
                <w:snapToGrid w:val="0"/>
                <w:color w:val="FF0000"/>
                <w:sz w:val="20"/>
                <w:szCs w:val="24"/>
              </w:rPr>
              <w:drawing>
                <wp:inline distT="0" distB="0" distL="0" distR="0" wp14:anchorId="5DEE75EF" wp14:editId="202F28E5">
                  <wp:extent cx="2173445" cy="1253490"/>
                  <wp:effectExtent l="0" t="0" r="0" b="0"/>
                  <wp:docPr id="1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2332" t="12934" r="24064" b="48664"/>
                          <a:stretch/>
                        </pic:blipFill>
                        <pic:spPr bwMode="auto">
                          <a:xfrm>
                            <a:off x="0" y="0"/>
                            <a:ext cx="2201890" cy="1269895"/>
                          </a:xfrm>
                          <a:prstGeom prst="rect">
                            <a:avLst/>
                          </a:prstGeom>
                          <a:noFill/>
                          <a:ln>
                            <a:noFill/>
                          </a:ln>
                          <a:extLst>
                            <a:ext uri="{53640926-AAD7-44D8-BBD7-CCE9431645EC}">
                              <a14:shadowObscured xmlns:a14="http://schemas.microsoft.com/office/drawing/2010/main"/>
                            </a:ext>
                          </a:extLst>
                        </pic:spPr>
                      </pic:pic>
                    </a:graphicData>
                  </a:graphic>
                </wp:inline>
              </w:drawing>
            </w:r>
          </w:p>
          <w:p w:rsidR="00183FCD" w:rsidRPr="00183FCD" w:rsidRDefault="00183FCD" w:rsidP="00183FCD">
            <w:pPr>
              <w:widowControl w:val="0"/>
              <w:tabs>
                <w:tab w:val="left" w:pos="567"/>
              </w:tabs>
              <w:spacing w:after="0" w:line="240" w:lineRule="auto"/>
              <w:jc w:val="both"/>
              <w:rPr>
                <w:rFonts w:ascii="Times" w:eastAsia="Times New Roman" w:hAnsi="Times"/>
                <w:snapToGrid w:val="0"/>
                <w:color w:val="000000"/>
                <w:sz w:val="20"/>
                <w:szCs w:val="24"/>
                <w:lang w:val="en-US" w:eastAsia="en-US"/>
              </w:rPr>
            </w:pPr>
            <w:r w:rsidRPr="00183FCD">
              <w:rPr>
                <w:rFonts w:ascii="Times" w:eastAsia="Times New Roman" w:hAnsi="Times"/>
                <w:noProof/>
                <w:snapToGrid w:val="0"/>
                <w:sz w:val="20"/>
                <w:szCs w:val="24"/>
                <w:lang w:val="it-IT" w:eastAsia="it-IT"/>
              </w:rPr>
              <w:t xml:space="preserve">(d) </w:t>
            </w:r>
            <w:r w:rsidRPr="00183FCD">
              <w:rPr>
                <w:rFonts w:ascii="Times" w:eastAsia="Times New Roman" w:hAnsi="Times"/>
                <w:noProof/>
                <w:snapToGrid w:val="0"/>
                <w:color w:val="000000"/>
                <w:sz w:val="20"/>
                <w:szCs w:val="24"/>
              </w:rPr>
              <w:drawing>
                <wp:inline distT="0" distB="0" distL="0" distR="0" wp14:anchorId="4C408F37" wp14:editId="63C30965">
                  <wp:extent cx="2172970" cy="2019014"/>
                  <wp:effectExtent l="0" t="0" r="0" b="635"/>
                  <wp:docPr id="1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247" r="35958" b="27146"/>
                          <a:stretch/>
                        </pic:blipFill>
                        <pic:spPr bwMode="auto">
                          <a:xfrm>
                            <a:off x="0" y="0"/>
                            <a:ext cx="2187111" cy="2032153"/>
                          </a:xfrm>
                          <a:prstGeom prst="rect">
                            <a:avLst/>
                          </a:prstGeom>
                          <a:noFill/>
                          <a:ln>
                            <a:noFill/>
                          </a:ln>
                          <a:extLst>
                            <a:ext uri="{53640926-AAD7-44D8-BBD7-CCE9431645EC}">
                              <a14:shadowObscured xmlns:a14="http://schemas.microsoft.com/office/drawing/2010/main"/>
                            </a:ext>
                          </a:extLst>
                        </pic:spPr>
                      </pic:pic>
                    </a:graphicData>
                  </a:graphic>
                </wp:inline>
              </w:drawing>
            </w:r>
          </w:p>
          <w:p w:rsidR="00183FCD" w:rsidRPr="00183FCD" w:rsidRDefault="00183FCD" w:rsidP="00183FCD">
            <w:pPr>
              <w:widowControl w:val="0"/>
              <w:tabs>
                <w:tab w:val="left" w:pos="567"/>
              </w:tabs>
              <w:spacing w:after="0" w:line="240" w:lineRule="auto"/>
              <w:jc w:val="center"/>
              <w:rPr>
                <w:rFonts w:ascii="Times" w:eastAsia="Times New Roman" w:hAnsi="Times"/>
                <w:snapToGrid w:val="0"/>
                <w:color w:val="FF0000"/>
                <w:sz w:val="20"/>
                <w:szCs w:val="24"/>
                <w:lang w:val="en-GB" w:eastAsia="en-US"/>
              </w:rPr>
            </w:pPr>
          </w:p>
        </w:tc>
      </w:tr>
    </w:tbl>
    <w:p w:rsidR="00183FCD" w:rsidRPr="00183FCD" w:rsidRDefault="00183FCD" w:rsidP="00183FCD">
      <w:pPr>
        <w:widowControl w:val="0"/>
        <w:spacing w:after="0" w:line="240" w:lineRule="auto"/>
        <w:jc w:val="center"/>
        <w:rPr>
          <w:rFonts w:eastAsia="Times New Roman"/>
          <w:snapToGrid w:val="0"/>
          <w:lang w:eastAsia="en-US"/>
        </w:rPr>
      </w:pPr>
    </w:p>
    <w:p w:rsidR="00183FCD" w:rsidRPr="00183FCD" w:rsidRDefault="00183FCD" w:rsidP="00183FCD">
      <w:pPr>
        <w:widowControl w:val="0"/>
        <w:spacing w:after="0" w:line="240" w:lineRule="auto"/>
        <w:jc w:val="center"/>
        <w:rPr>
          <w:rFonts w:eastAsia="Times New Roman"/>
          <w:snapToGrid w:val="0"/>
          <w:sz w:val="20"/>
          <w:szCs w:val="24"/>
          <w:lang w:val="en-US" w:eastAsia="en-US"/>
        </w:rPr>
      </w:pPr>
      <w:r w:rsidRPr="00183FCD">
        <w:rPr>
          <w:rFonts w:eastAsia="Times New Roman"/>
          <w:snapToGrid w:val="0"/>
          <w:sz w:val="20"/>
          <w:szCs w:val="24"/>
          <w:lang w:val="en-US" w:eastAsia="en-US"/>
        </w:rPr>
        <w:t>Figure 3. (a) 2-D numerical model of the braced frame and details adopted for: (b) beam-column joints, (c) column-foundation joints, (d) dissipative bracing connection and (e) constitutive laws of elements connections.</w:t>
      </w:r>
    </w:p>
    <w:p w:rsidR="00183FCD" w:rsidRPr="00183FCD" w:rsidRDefault="00183FCD" w:rsidP="00183FCD">
      <w:pPr>
        <w:widowControl w:val="0"/>
        <w:spacing w:after="0" w:line="240" w:lineRule="auto"/>
        <w:jc w:val="both"/>
        <w:rPr>
          <w:rFonts w:eastAsia="Times New Roman"/>
          <w:snapToGrid w:val="0"/>
          <w:szCs w:val="24"/>
          <w:lang w:val="en-GB" w:eastAsia="en-US"/>
        </w:rPr>
      </w:pPr>
    </w:p>
    <w:p w:rsidR="00183FCD" w:rsidRPr="00183FCD" w:rsidRDefault="00183FCD" w:rsidP="00183FCD">
      <w:pPr>
        <w:widowControl w:val="0"/>
        <w:spacing w:after="0" w:line="240" w:lineRule="auto"/>
        <w:jc w:val="both"/>
        <w:rPr>
          <w:rFonts w:eastAsia="Times New Roman"/>
          <w:snapToGrid w:val="0"/>
          <w:szCs w:val="24"/>
          <w:lang w:val="en-GB" w:eastAsia="en-US"/>
        </w:rPr>
      </w:pPr>
    </w:p>
    <w:p w:rsidR="00183FCD" w:rsidRPr="00183FCD" w:rsidRDefault="00183FCD" w:rsidP="00183FC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183FCD">
        <w:rPr>
          <w:rFonts w:eastAsia="Times New Roman"/>
          <w:b/>
          <w:caps/>
          <w:snapToGrid w:val="0"/>
          <w:szCs w:val="24"/>
          <w:lang w:val="en-US" w:eastAsia="en-US"/>
        </w:rPr>
        <w:lastRenderedPageBreak/>
        <w:t xml:space="preserve">4. </w:t>
      </w:r>
      <w:r w:rsidRPr="00183FCD">
        <w:rPr>
          <w:rFonts w:eastAsia="Times New Roman"/>
          <w:b/>
          <w:snapToGrid w:val="0"/>
          <w:szCs w:val="24"/>
          <w:lang w:val="en-US" w:eastAsia="en-US"/>
        </w:rPr>
        <w:t>RESULTS</w:t>
      </w:r>
    </w:p>
    <w:p w:rsidR="00183FCD" w:rsidRPr="00183FCD" w:rsidRDefault="00183FCD" w:rsidP="00183FCD">
      <w:pPr>
        <w:widowControl w:val="0"/>
        <w:spacing w:after="0" w:line="240" w:lineRule="auto"/>
        <w:jc w:val="both"/>
        <w:rPr>
          <w:rFonts w:eastAsia="Times New Roman"/>
          <w:snapToGrid w:val="0"/>
          <w:szCs w:val="24"/>
          <w:lang w:val="en-US" w:eastAsia="en-US"/>
        </w:rPr>
      </w:pPr>
    </w:p>
    <w:p w:rsidR="00183FCD" w:rsidRPr="00183FCD" w:rsidRDefault="00183FCD" w:rsidP="00183FCD">
      <w:pPr>
        <w:widowControl w:val="0"/>
        <w:tabs>
          <w:tab w:val="left" w:pos="567"/>
        </w:tabs>
        <w:spacing w:after="0" w:line="240" w:lineRule="auto"/>
        <w:jc w:val="both"/>
        <w:rPr>
          <w:rFonts w:ascii="Times" w:eastAsia="Times New Roman" w:hAnsi="Times"/>
          <w:snapToGrid w:val="0"/>
          <w:color w:val="000000"/>
          <w:szCs w:val="24"/>
          <w:lang w:val="en-US" w:eastAsia="en-US"/>
        </w:rPr>
      </w:pPr>
      <w:r w:rsidRPr="00183FCD">
        <w:rPr>
          <w:rFonts w:ascii="Times" w:eastAsia="Times New Roman" w:hAnsi="Times"/>
          <w:snapToGrid w:val="0"/>
          <w:color w:val="000000"/>
          <w:szCs w:val="24"/>
          <w:lang w:val="en-GB" w:eastAsia="en-US"/>
        </w:rPr>
        <w:t xml:space="preserve">The effectiveness of the numerical modelling to describe the </w:t>
      </w:r>
      <w:r w:rsidRPr="00183FCD">
        <w:rPr>
          <w:rFonts w:ascii="Times" w:eastAsia="Times New Roman" w:hAnsi="Times"/>
          <w:snapToGrid w:val="0"/>
          <w:color w:val="000000"/>
          <w:szCs w:val="24"/>
          <w:lang w:val="en-US" w:eastAsia="en-US"/>
        </w:rPr>
        <w:t xml:space="preserve">seismic response of the structural model is </w:t>
      </w:r>
      <w:r w:rsidRPr="00183FCD">
        <w:rPr>
          <w:rFonts w:ascii="Times" w:eastAsia="Times New Roman" w:hAnsi="Times"/>
          <w:snapToGrid w:val="0"/>
          <w:color w:val="000000"/>
          <w:szCs w:val="24"/>
          <w:lang w:val="en-GB" w:eastAsia="en-US"/>
        </w:rPr>
        <w:t xml:space="preserve">investigated. Computational and experimental studies have been reported for the selected seismic input (ID 535) at different intensities in order to identify and examine key design variables and demonstrate the performance of the system. Figure 4 and 5 show the comparison for two PGA intensity levels of </w:t>
      </w:r>
      <w:r w:rsidRPr="00183FCD">
        <w:rPr>
          <w:rFonts w:ascii="Times" w:eastAsia="Times New Roman" w:hAnsi="Times"/>
          <w:snapToGrid w:val="0"/>
          <w:color w:val="000000"/>
          <w:szCs w:val="24"/>
          <w:lang w:val="en-US" w:eastAsia="en-US"/>
        </w:rPr>
        <w:t>25% and 100%, corresponding to SLE and DBE, respectively. In Figure 4 the global seismic response of the braced frame is compared in terms of time histories of first floor drift and base shear and of first floor drift vs base shear. In Figure 5 the local behavior is shown in terms of cyclic force vs displacement of UFP dissipative devices at all storey.</w:t>
      </w:r>
    </w:p>
    <w:p w:rsidR="00183FCD" w:rsidRPr="00183FCD" w:rsidRDefault="00183FCD" w:rsidP="00183FCD">
      <w:pPr>
        <w:widowControl w:val="0"/>
        <w:tabs>
          <w:tab w:val="left" w:pos="567"/>
        </w:tabs>
        <w:spacing w:after="0" w:line="240" w:lineRule="auto"/>
        <w:jc w:val="both"/>
        <w:rPr>
          <w:rFonts w:ascii="Times" w:eastAsia="Times New Roman" w:hAnsi="Times"/>
          <w:snapToGrid w:val="0"/>
          <w:color w:val="000000"/>
          <w:szCs w:val="24"/>
          <w:lang w:val="en-US" w:eastAsia="en-US"/>
        </w:rPr>
      </w:pPr>
    </w:p>
    <w:p w:rsidR="00183FCD" w:rsidRPr="00183FCD" w:rsidRDefault="00183FCD" w:rsidP="00183FCD">
      <w:pPr>
        <w:widowControl w:val="0"/>
        <w:spacing w:after="0" w:line="240" w:lineRule="auto"/>
        <w:jc w:val="center"/>
        <w:rPr>
          <w:rFonts w:eastAsia="Times New Roman"/>
          <w:snapToGrid w:val="0"/>
          <w:szCs w:val="24"/>
          <w:lang w:val="en-GB" w:eastAsia="en-US"/>
        </w:rPr>
      </w:pPr>
      <w:r w:rsidRPr="00183FCD">
        <w:rPr>
          <w:rFonts w:eastAsia="Times New Roman"/>
          <w:noProof/>
          <w:snapToGrid w:val="0"/>
          <w:szCs w:val="24"/>
        </w:rPr>
        <w:drawing>
          <wp:inline distT="0" distB="0" distL="0" distR="0" wp14:anchorId="4C4C4E6B" wp14:editId="266939D6">
            <wp:extent cx="5732780" cy="6619875"/>
            <wp:effectExtent l="0" t="0" r="0" b="9525"/>
            <wp:docPr id="15"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583"/>
                    <a:stretch/>
                  </pic:blipFill>
                  <pic:spPr bwMode="auto">
                    <a:xfrm>
                      <a:off x="0" y="0"/>
                      <a:ext cx="5740470" cy="6628755"/>
                    </a:xfrm>
                    <a:prstGeom prst="rect">
                      <a:avLst/>
                    </a:prstGeom>
                    <a:noFill/>
                    <a:ln>
                      <a:noFill/>
                    </a:ln>
                    <a:extLst>
                      <a:ext uri="{53640926-AAD7-44D8-BBD7-CCE9431645EC}">
                        <a14:shadowObscured xmlns:a14="http://schemas.microsoft.com/office/drawing/2010/main"/>
                      </a:ext>
                    </a:extLst>
                  </pic:spPr>
                </pic:pic>
              </a:graphicData>
            </a:graphic>
          </wp:inline>
        </w:drawing>
      </w:r>
    </w:p>
    <w:p w:rsidR="00183FCD" w:rsidRPr="00183FCD" w:rsidRDefault="00183FCD" w:rsidP="00183FCD">
      <w:pPr>
        <w:widowControl w:val="0"/>
        <w:spacing w:after="0" w:line="240" w:lineRule="auto"/>
        <w:jc w:val="center"/>
        <w:rPr>
          <w:rFonts w:eastAsia="Times New Roman"/>
          <w:snapToGrid w:val="0"/>
          <w:sz w:val="20"/>
          <w:szCs w:val="24"/>
          <w:lang w:val="en-US" w:eastAsia="en-US"/>
        </w:rPr>
      </w:pPr>
    </w:p>
    <w:p w:rsidR="00183FCD" w:rsidRPr="00183FCD" w:rsidRDefault="00183FCD" w:rsidP="00183FCD">
      <w:pPr>
        <w:widowControl w:val="0"/>
        <w:spacing w:after="0" w:line="240" w:lineRule="auto"/>
        <w:jc w:val="center"/>
        <w:rPr>
          <w:rFonts w:eastAsia="Times New Roman"/>
          <w:snapToGrid w:val="0"/>
          <w:sz w:val="20"/>
          <w:szCs w:val="24"/>
          <w:lang w:val="en-US" w:eastAsia="en-US"/>
        </w:rPr>
      </w:pPr>
      <w:r w:rsidRPr="00183FCD">
        <w:rPr>
          <w:rFonts w:eastAsia="Times New Roman"/>
          <w:snapToGrid w:val="0"/>
          <w:sz w:val="20"/>
          <w:szCs w:val="24"/>
          <w:lang w:val="en-US" w:eastAsia="en-US"/>
        </w:rPr>
        <w:t>Figure 4. Comparison between numerical and experimental results of the braced frame for 535 earthquake input at PGA intensity levels of 25% and 100%.</w:t>
      </w:r>
    </w:p>
    <w:p w:rsidR="00183FCD" w:rsidRPr="00183FCD" w:rsidRDefault="00183FCD" w:rsidP="00183FCD">
      <w:pPr>
        <w:widowControl w:val="0"/>
        <w:spacing w:after="0" w:line="240" w:lineRule="auto"/>
        <w:jc w:val="both"/>
        <w:rPr>
          <w:rFonts w:eastAsia="Times New Roman"/>
          <w:snapToGrid w:val="0"/>
          <w:szCs w:val="24"/>
          <w:lang w:val="en-GB" w:eastAsia="en-US"/>
        </w:rPr>
      </w:pPr>
    </w:p>
    <w:p w:rsidR="00183FCD" w:rsidRPr="00183FCD" w:rsidRDefault="00183FCD" w:rsidP="00183FCD">
      <w:pPr>
        <w:widowControl w:val="0"/>
        <w:spacing w:after="0" w:line="240" w:lineRule="auto"/>
        <w:jc w:val="both"/>
        <w:rPr>
          <w:rFonts w:eastAsia="Times New Roman"/>
          <w:snapToGrid w:val="0"/>
          <w:szCs w:val="24"/>
          <w:lang w:val="en-GB" w:eastAsia="en-US"/>
        </w:rPr>
      </w:pPr>
      <w:r w:rsidRPr="00183FCD">
        <w:rPr>
          <w:rFonts w:eastAsia="Times New Roman"/>
          <w:snapToGrid w:val="0"/>
          <w:szCs w:val="24"/>
          <w:lang w:val="en-GB" w:eastAsia="en-US"/>
        </w:rPr>
        <w:t xml:space="preserve">A good agreement between numerical and experimental results can be observed, only with few discrepancies of the maximum peak values of the base shear. In case of SLE intensity (25% of PGA), </w:t>
      </w:r>
      <w:r w:rsidRPr="00183FCD">
        <w:rPr>
          <w:rFonts w:eastAsia="Times New Roman"/>
          <w:snapToGrid w:val="0"/>
          <w:szCs w:val="24"/>
          <w:lang w:val="en-US" w:eastAsia="en-US"/>
        </w:rPr>
        <w:t xml:space="preserve">it can be clearly observed an elastic global and local behavior </w:t>
      </w:r>
      <w:r w:rsidRPr="00183FCD">
        <w:rPr>
          <w:rFonts w:eastAsia="Times New Roman"/>
          <w:snapToGrid w:val="0"/>
          <w:szCs w:val="24"/>
          <w:lang w:val="en-GB" w:eastAsia="en-US"/>
        </w:rPr>
        <w:t>preventing the occurrence of yielding of both the framed structure and the dissipative devices. The</w:t>
      </w:r>
      <w:r w:rsidRPr="00183FCD">
        <w:rPr>
          <w:rFonts w:eastAsia="Times New Roman"/>
          <w:snapToGrid w:val="0"/>
          <w:szCs w:val="24"/>
          <w:lang w:val="en-US" w:eastAsia="en-US"/>
        </w:rPr>
        <w:t xml:space="preserve"> elastic stiffness of the experimental model is in good agreement with the numerical model.</w:t>
      </w:r>
      <w:r w:rsidRPr="00183FCD">
        <w:rPr>
          <w:rFonts w:eastAsia="Times New Roman"/>
          <w:snapToGrid w:val="0"/>
          <w:szCs w:val="24"/>
          <w:lang w:val="en-GB" w:eastAsia="en-US"/>
        </w:rPr>
        <w:t xml:space="preserve"> In case of DBE intensity (100% of PGA) the flag-shaped hysteretic behaviour is highlighted. The experimental response is reliably predicted by numerical model, both in terms of energy dissipation capacity and of maximum force and displacements. </w:t>
      </w:r>
    </w:p>
    <w:p w:rsidR="00183FCD" w:rsidRPr="00183FCD" w:rsidRDefault="00183FCD" w:rsidP="00183FCD">
      <w:pPr>
        <w:widowControl w:val="0"/>
        <w:autoSpaceDE w:val="0"/>
        <w:autoSpaceDN w:val="0"/>
        <w:adjustRightInd w:val="0"/>
        <w:spacing w:after="0" w:line="240" w:lineRule="auto"/>
        <w:jc w:val="both"/>
        <w:rPr>
          <w:rFonts w:eastAsia="Times New Roman"/>
          <w:snapToGrid w:val="0"/>
          <w:szCs w:val="24"/>
          <w:lang w:val="en-US" w:eastAsia="en-US"/>
        </w:rPr>
      </w:pPr>
    </w:p>
    <w:p w:rsidR="00183FCD" w:rsidRPr="00183FCD" w:rsidRDefault="00183FCD" w:rsidP="00183FCD">
      <w:pPr>
        <w:widowControl w:val="0"/>
        <w:spacing w:after="0" w:line="240" w:lineRule="auto"/>
        <w:jc w:val="center"/>
        <w:rPr>
          <w:rFonts w:eastAsia="Times New Roman"/>
          <w:snapToGrid w:val="0"/>
          <w:szCs w:val="24"/>
          <w:lang w:val="en-US" w:eastAsia="en-US"/>
        </w:rPr>
      </w:pPr>
      <w:r w:rsidRPr="00183FCD">
        <w:rPr>
          <w:rFonts w:eastAsia="Times New Roman"/>
          <w:noProof/>
          <w:snapToGrid w:val="0"/>
          <w:szCs w:val="24"/>
        </w:rPr>
        <w:drawing>
          <wp:inline distT="0" distB="0" distL="0" distR="0" wp14:anchorId="2DDC8DDA" wp14:editId="013AA623">
            <wp:extent cx="5933636" cy="6896100"/>
            <wp:effectExtent l="0" t="0" r="0" b="0"/>
            <wp:docPr id="1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252"/>
                    <a:stretch/>
                  </pic:blipFill>
                  <pic:spPr bwMode="auto">
                    <a:xfrm>
                      <a:off x="0" y="0"/>
                      <a:ext cx="5935735" cy="6898540"/>
                    </a:xfrm>
                    <a:prstGeom prst="rect">
                      <a:avLst/>
                    </a:prstGeom>
                    <a:noFill/>
                    <a:ln>
                      <a:noFill/>
                    </a:ln>
                    <a:extLst>
                      <a:ext uri="{53640926-AAD7-44D8-BBD7-CCE9431645EC}">
                        <a14:shadowObscured xmlns:a14="http://schemas.microsoft.com/office/drawing/2010/main"/>
                      </a:ext>
                    </a:extLst>
                  </pic:spPr>
                </pic:pic>
              </a:graphicData>
            </a:graphic>
          </wp:inline>
        </w:drawing>
      </w:r>
    </w:p>
    <w:p w:rsidR="00183FCD" w:rsidRPr="00183FCD" w:rsidRDefault="00183FCD" w:rsidP="00183FCD">
      <w:pPr>
        <w:widowControl w:val="0"/>
        <w:spacing w:after="0" w:line="240" w:lineRule="auto"/>
        <w:jc w:val="both"/>
        <w:rPr>
          <w:rFonts w:eastAsia="Times New Roman"/>
          <w:snapToGrid w:val="0"/>
          <w:szCs w:val="24"/>
          <w:lang w:val="en-US" w:eastAsia="en-US"/>
        </w:rPr>
      </w:pPr>
    </w:p>
    <w:p w:rsidR="00183FCD" w:rsidRPr="00183FCD" w:rsidRDefault="00183FCD" w:rsidP="00183FCD">
      <w:pPr>
        <w:widowControl w:val="0"/>
        <w:spacing w:after="0" w:line="240" w:lineRule="auto"/>
        <w:jc w:val="center"/>
        <w:rPr>
          <w:rFonts w:eastAsia="Times New Roman"/>
          <w:snapToGrid w:val="0"/>
          <w:sz w:val="20"/>
          <w:szCs w:val="24"/>
          <w:lang w:val="en-US" w:eastAsia="en-US"/>
        </w:rPr>
      </w:pPr>
      <w:r w:rsidRPr="00183FCD">
        <w:rPr>
          <w:rFonts w:eastAsia="Times New Roman"/>
          <w:snapToGrid w:val="0"/>
          <w:sz w:val="20"/>
          <w:szCs w:val="24"/>
          <w:lang w:val="en-US" w:eastAsia="en-US"/>
        </w:rPr>
        <w:t>Figure 5. Comparison between numerical and experimental force-displacement cyclic laws of UFPs for earthquake output 535 at PGA intensity levels of 25% and 100%.</w:t>
      </w:r>
    </w:p>
    <w:p w:rsidR="00183FCD" w:rsidRPr="00183FCD" w:rsidRDefault="00183FCD" w:rsidP="00183FCD">
      <w:pPr>
        <w:widowControl w:val="0"/>
        <w:spacing w:after="0" w:line="240" w:lineRule="auto"/>
        <w:jc w:val="both"/>
        <w:rPr>
          <w:rFonts w:eastAsia="Times New Roman"/>
          <w:snapToGrid w:val="0"/>
          <w:szCs w:val="24"/>
          <w:lang w:val="en-US" w:eastAsia="en-US"/>
        </w:rPr>
      </w:pPr>
      <w:r w:rsidRPr="00183FCD">
        <w:rPr>
          <w:rFonts w:eastAsia="Times New Roman"/>
          <w:snapToGrid w:val="0"/>
          <w:szCs w:val="24"/>
          <w:lang w:val="en-US" w:eastAsia="en-US"/>
        </w:rPr>
        <w:lastRenderedPageBreak/>
        <w:t>Figure 6 compares the results of nonlinear static analysis (NLSA) performed applying two distributions of lateral loads, ‘‘modal’’ and ‘‘uniform’’ patterns (EN 1998-1 2003) with the results of tests at 25% and 100%  PGA levels in terms of maximum total drift and base shear of the single braced frame. NLSA are capable of predicting adequately the nonlinear dynamic seismic response.</w:t>
      </w:r>
    </w:p>
    <w:p w:rsidR="00183FCD" w:rsidRPr="00183FCD" w:rsidRDefault="00183FCD" w:rsidP="00183FCD">
      <w:pPr>
        <w:widowControl w:val="0"/>
        <w:spacing w:after="0" w:line="240" w:lineRule="auto"/>
        <w:jc w:val="both"/>
        <w:rPr>
          <w:rFonts w:eastAsia="Times New Roman"/>
          <w:snapToGrid w:val="0"/>
          <w:szCs w:val="24"/>
          <w:lang w:val="en-US" w:eastAsia="en-US"/>
        </w:rPr>
      </w:pPr>
      <w:r w:rsidRPr="00183FCD">
        <w:rPr>
          <w:rFonts w:eastAsia="Times New Roman"/>
          <w:snapToGrid w:val="0"/>
          <w:szCs w:val="24"/>
          <w:lang w:val="en-US" w:eastAsia="en-US"/>
        </w:rPr>
        <w:t>The frame elements and the beam-column joints of the braced model performed as expected with no damage occurring throughout testing, with the application of almost 40 earthquakes, in some cases over the Design Base Earthquake level.</w:t>
      </w:r>
    </w:p>
    <w:p w:rsidR="00183FCD" w:rsidRPr="00183FCD" w:rsidRDefault="00183FCD" w:rsidP="00183FCD">
      <w:pPr>
        <w:widowControl w:val="0"/>
        <w:spacing w:after="0" w:line="240" w:lineRule="auto"/>
        <w:jc w:val="both"/>
        <w:rPr>
          <w:rFonts w:eastAsia="Times New Roman"/>
          <w:snapToGrid w:val="0"/>
          <w:szCs w:val="24"/>
          <w:lang w:val="en-US" w:eastAsia="en-US"/>
        </w:rPr>
      </w:pPr>
    </w:p>
    <w:p w:rsidR="00183FCD" w:rsidRPr="00183FCD" w:rsidRDefault="00183FCD" w:rsidP="00183FCD">
      <w:pPr>
        <w:widowControl w:val="0"/>
        <w:spacing w:after="0" w:line="240" w:lineRule="auto"/>
        <w:jc w:val="center"/>
        <w:rPr>
          <w:rFonts w:eastAsia="Times New Roman"/>
          <w:snapToGrid w:val="0"/>
          <w:szCs w:val="24"/>
          <w:lang w:val="en-US" w:eastAsia="en-US"/>
        </w:rPr>
      </w:pPr>
      <w:r w:rsidRPr="00183FCD">
        <w:rPr>
          <w:rFonts w:eastAsia="Times New Roman"/>
          <w:noProof/>
          <w:snapToGrid w:val="0"/>
          <w:szCs w:val="24"/>
        </w:rPr>
        <w:drawing>
          <wp:inline distT="0" distB="0" distL="0" distR="0" wp14:anchorId="42043A32" wp14:editId="373973D2">
            <wp:extent cx="3591560" cy="2150745"/>
            <wp:effectExtent l="0" t="0" r="8890" b="1905"/>
            <wp:docPr id="1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1560" cy="2150745"/>
                    </a:xfrm>
                    <a:prstGeom prst="rect">
                      <a:avLst/>
                    </a:prstGeom>
                    <a:noFill/>
                    <a:ln>
                      <a:noFill/>
                    </a:ln>
                  </pic:spPr>
                </pic:pic>
              </a:graphicData>
            </a:graphic>
          </wp:inline>
        </w:drawing>
      </w:r>
    </w:p>
    <w:p w:rsidR="00183FCD" w:rsidRPr="00183FCD" w:rsidRDefault="00183FCD" w:rsidP="00183FCD">
      <w:pPr>
        <w:widowControl w:val="0"/>
        <w:spacing w:after="0" w:line="240" w:lineRule="auto"/>
        <w:jc w:val="center"/>
        <w:rPr>
          <w:rFonts w:eastAsia="Times New Roman"/>
          <w:snapToGrid w:val="0"/>
          <w:szCs w:val="24"/>
          <w:lang w:val="en-US" w:eastAsia="en-US"/>
        </w:rPr>
      </w:pPr>
    </w:p>
    <w:p w:rsidR="00183FCD" w:rsidRPr="00183FCD" w:rsidRDefault="00183FCD" w:rsidP="00183FCD">
      <w:pPr>
        <w:widowControl w:val="0"/>
        <w:spacing w:after="0" w:line="240" w:lineRule="auto"/>
        <w:jc w:val="center"/>
        <w:rPr>
          <w:rFonts w:eastAsia="Times New Roman"/>
          <w:snapToGrid w:val="0"/>
          <w:sz w:val="20"/>
          <w:szCs w:val="24"/>
          <w:lang w:val="en-US" w:eastAsia="en-US"/>
        </w:rPr>
      </w:pPr>
      <w:r w:rsidRPr="00183FCD">
        <w:rPr>
          <w:rFonts w:eastAsia="Times New Roman"/>
          <w:snapToGrid w:val="0"/>
          <w:sz w:val="20"/>
          <w:szCs w:val="24"/>
          <w:lang w:val="en-US" w:eastAsia="en-US"/>
        </w:rPr>
        <w:t>Figure 6. Comparisons between the results of dynamic testing for different PGA levels and the pushover curves obtained from nonlinear static analysis</w:t>
      </w:r>
    </w:p>
    <w:p w:rsidR="00183FCD" w:rsidRPr="00183FCD" w:rsidRDefault="00183FCD" w:rsidP="00183FCD">
      <w:pPr>
        <w:widowControl w:val="0"/>
        <w:spacing w:after="0" w:line="240" w:lineRule="auto"/>
        <w:jc w:val="both"/>
        <w:rPr>
          <w:rFonts w:eastAsia="Times New Roman"/>
          <w:snapToGrid w:val="0"/>
          <w:szCs w:val="24"/>
          <w:lang w:val="en-US" w:eastAsia="en-US"/>
        </w:rPr>
      </w:pPr>
    </w:p>
    <w:p w:rsidR="00183FCD" w:rsidRPr="00183FCD" w:rsidRDefault="00183FCD" w:rsidP="00183FCD">
      <w:pPr>
        <w:widowControl w:val="0"/>
        <w:spacing w:after="0" w:line="240" w:lineRule="auto"/>
        <w:jc w:val="both"/>
        <w:rPr>
          <w:rFonts w:eastAsia="Times New Roman"/>
          <w:snapToGrid w:val="0"/>
          <w:szCs w:val="24"/>
          <w:lang w:val="en-US" w:eastAsia="en-US"/>
        </w:rPr>
      </w:pPr>
    </w:p>
    <w:p w:rsidR="00183FCD" w:rsidRPr="00183FCD" w:rsidRDefault="00183FCD" w:rsidP="00183FCD">
      <w:pPr>
        <w:keepNext/>
        <w:widowControl w:val="0"/>
        <w:tabs>
          <w:tab w:val="center" w:pos="4680"/>
        </w:tabs>
        <w:suppressAutoHyphens/>
        <w:spacing w:after="0" w:line="240" w:lineRule="auto"/>
        <w:jc w:val="both"/>
        <w:outlineLvl w:val="0"/>
        <w:rPr>
          <w:rFonts w:eastAsia="Times New Roman"/>
          <w:b/>
          <w:caps/>
          <w:snapToGrid w:val="0"/>
          <w:szCs w:val="24"/>
          <w:lang w:val="en-GB" w:eastAsia="en-US"/>
        </w:rPr>
      </w:pPr>
      <w:r w:rsidRPr="00183FCD">
        <w:rPr>
          <w:rFonts w:eastAsia="Times New Roman"/>
          <w:b/>
          <w:caps/>
          <w:snapToGrid w:val="0"/>
          <w:szCs w:val="24"/>
          <w:lang w:val="en-US" w:eastAsia="en-US"/>
        </w:rPr>
        <w:t>5. CONCLUSIONS</w:t>
      </w:r>
    </w:p>
    <w:p w:rsidR="00183FCD" w:rsidRPr="00183FCD" w:rsidRDefault="00183FCD" w:rsidP="00183FCD">
      <w:pPr>
        <w:widowControl w:val="0"/>
        <w:spacing w:after="0" w:line="240" w:lineRule="auto"/>
        <w:jc w:val="both"/>
        <w:rPr>
          <w:rFonts w:eastAsia="Times New Roman"/>
          <w:snapToGrid w:val="0"/>
          <w:szCs w:val="24"/>
          <w:lang w:val="en-GB" w:eastAsia="en-US"/>
        </w:rPr>
      </w:pPr>
    </w:p>
    <w:p w:rsidR="00183FCD" w:rsidRPr="00183FCD" w:rsidRDefault="00183FCD" w:rsidP="00183FCD">
      <w:pPr>
        <w:widowControl w:val="0"/>
        <w:spacing w:after="0" w:line="240" w:lineRule="auto"/>
        <w:jc w:val="both"/>
        <w:rPr>
          <w:rFonts w:eastAsia="Times New Roman"/>
          <w:snapToGrid w:val="0"/>
          <w:szCs w:val="24"/>
          <w:lang w:val="en-US" w:eastAsia="en-US"/>
        </w:rPr>
      </w:pPr>
      <w:r w:rsidRPr="00183FCD">
        <w:rPr>
          <w:rFonts w:eastAsia="Times New Roman"/>
          <w:snapToGrid w:val="0"/>
          <w:szCs w:val="24"/>
          <w:lang w:val="en-US" w:eastAsia="en-US"/>
        </w:rPr>
        <w:t xml:space="preserve">An extensive experimental campaign was carried out on a three dimensional, three storey, 2/3 scaled post-tensioned timber framed building equipped with V-inverted dissipative bracing systems, based on U-shaped Flexural Plate (UFP) hysteretic dampers. </w:t>
      </w:r>
    </w:p>
    <w:p w:rsidR="00183FCD" w:rsidRPr="00183FCD" w:rsidRDefault="00183FCD" w:rsidP="00183FCD">
      <w:pPr>
        <w:widowControl w:val="0"/>
        <w:spacing w:after="0" w:line="240" w:lineRule="auto"/>
        <w:jc w:val="both"/>
        <w:rPr>
          <w:rFonts w:eastAsia="Times New Roman"/>
          <w:snapToGrid w:val="0"/>
          <w:szCs w:val="24"/>
          <w:lang w:val="en-US" w:eastAsia="en-US"/>
        </w:rPr>
      </w:pPr>
      <w:r w:rsidRPr="00183FCD">
        <w:rPr>
          <w:rFonts w:eastAsia="Times New Roman"/>
          <w:snapToGrid w:val="0"/>
          <w:szCs w:val="24"/>
          <w:lang w:val="en-US" w:eastAsia="en-US"/>
        </w:rPr>
        <w:t xml:space="preserve">This paper presents the results of nonlinear dynamic analysis compared with seismic response of shaking table testing of one of the stronger spectra compatible earthquake (Erzican input) scaled to intensities of 25% and 100% of peak ground acceleration that correspond to a Service Level Earthquake (SLE) and Design Base Earthquake (DBE). A lumped plasticity approach was used for the numerical model of braced structure, with a suitable combination of elastic elements and nonlinear rotational / linear springs. </w:t>
      </w:r>
    </w:p>
    <w:p w:rsidR="00183FCD" w:rsidRPr="00183FCD" w:rsidRDefault="00183FCD" w:rsidP="00183FCD">
      <w:pPr>
        <w:widowControl w:val="0"/>
        <w:spacing w:after="0" w:line="240" w:lineRule="auto"/>
        <w:jc w:val="both"/>
        <w:rPr>
          <w:rFonts w:eastAsia="Times New Roman"/>
          <w:snapToGrid w:val="0"/>
          <w:szCs w:val="24"/>
          <w:lang w:val="en-US" w:eastAsia="en-US"/>
        </w:rPr>
      </w:pPr>
      <w:r w:rsidRPr="00183FCD">
        <w:rPr>
          <w:rFonts w:eastAsia="Times New Roman"/>
          <w:snapToGrid w:val="0"/>
          <w:szCs w:val="24"/>
          <w:lang w:val="en-US" w:eastAsia="en-US"/>
        </w:rPr>
        <w:t xml:space="preserve">The specimen responded within its elastic range at SLE intensity (25% of PGA) preventing the occurrence of yielding of both the framed structure and the dissipative devices. In case of DBE intensity (100% of PGA), the inter-storey drift reaches a maximum value of 1.9%, exceeding the design target drift, without damage to the structural elements. In this case, the UFP dampers were activated at each storey withstanding ductility values of almost 4, with stable cyclic hysteretic behavior for a large number of load cycles. The dissipative and re-centering capability of the structural system was clearly shown by the global flag-shape behavior. </w:t>
      </w:r>
    </w:p>
    <w:p w:rsidR="00183FCD" w:rsidRPr="00183FCD" w:rsidRDefault="00183FCD" w:rsidP="00183FCD">
      <w:pPr>
        <w:widowControl w:val="0"/>
        <w:autoSpaceDE w:val="0"/>
        <w:autoSpaceDN w:val="0"/>
        <w:adjustRightInd w:val="0"/>
        <w:spacing w:after="0" w:line="240" w:lineRule="auto"/>
        <w:jc w:val="both"/>
        <w:rPr>
          <w:rFonts w:eastAsia="Times New Roman"/>
          <w:snapToGrid w:val="0"/>
          <w:szCs w:val="24"/>
          <w:lang w:val="en-GB" w:eastAsia="en-US"/>
        </w:rPr>
      </w:pPr>
      <w:r w:rsidRPr="00183FCD">
        <w:rPr>
          <w:rFonts w:eastAsia="Times New Roman"/>
          <w:snapToGrid w:val="0"/>
          <w:szCs w:val="24"/>
          <w:lang w:val="en-GB" w:eastAsia="en-US"/>
        </w:rPr>
        <w:t>The results of static and dynamic nonlinear analysis are capable of reproducing adequately the global and local seismic response of the experimental model. A satisfactory agreement of in terms of first floor drift and base shear was obtained for all seismic intensities. The cyclic behaviour of the UFPs is well simulated at all storeys.</w:t>
      </w:r>
      <w:r w:rsidRPr="00183FCD">
        <w:rPr>
          <w:rFonts w:eastAsia="Times New Roman"/>
          <w:snapToGrid w:val="0"/>
          <w:szCs w:val="24"/>
          <w:lang w:val="en-US" w:eastAsia="en-US"/>
        </w:rPr>
        <w:t xml:space="preserve"> The numerical results described herein are preliminary and further experimental and analytical investigation is forthcoming.</w:t>
      </w:r>
    </w:p>
    <w:p w:rsidR="00183FCD" w:rsidRPr="00183FCD" w:rsidRDefault="00183FCD" w:rsidP="00183FCD">
      <w:pPr>
        <w:widowControl w:val="0"/>
        <w:autoSpaceDE w:val="0"/>
        <w:autoSpaceDN w:val="0"/>
        <w:adjustRightInd w:val="0"/>
        <w:spacing w:after="0" w:line="240" w:lineRule="auto"/>
        <w:jc w:val="both"/>
        <w:rPr>
          <w:rFonts w:eastAsia="Times New Roman"/>
          <w:snapToGrid w:val="0"/>
          <w:szCs w:val="24"/>
          <w:lang w:val="en-US" w:eastAsia="en-US"/>
        </w:rPr>
      </w:pPr>
    </w:p>
    <w:p w:rsidR="00183FCD" w:rsidRPr="00183FCD" w:rsidRDefault="00183FCD" w:rsidP="00183FCD">
      <w:pPr>
        <w:widowControl w:val="0"/>
        <w:autoSpaceDE w:val="0"/>
        <w:autoSpaceDN w:val="0"/>
        <w:adjustRightInd w:val="0"/>
        <w:spacing w:after="0" w:line="240" w:lineRule="auto"/>
        <w:jc w:val="both"/>
        <w:rPr>
          <w:rFonts w:eastAsia="Times New Roman"/>
          <w:snapToGrid w:val="0"/>
          <w:szCs w:val="24"/>
          <w:lang w:val="en-US" w:eastAsia="en-US"/>
        </w:rPr>
      </w:pPr>
    </w:p>
    <w:p w:rsidR="00183FCD" w:rsidRPr="00183FCD" w:rsidRDefault="00183FCD" w:rsidP="00183FC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183FCD">
        <w:rPr>
          <w:rFonts w:eastAsia="Times New Roman"/>
          <w:b/>
          <w:caps/>
          <w:snapToGrid w:val="0"/>
          <w:szCs w:val="24"/>
          <w:lang w:val="en-US" w:eastAsia="en-US"/>
        </w:rPr>
        <w:t xml:space="preserve">6. Acknowledgments </w:t>
      </w:r>
    </w:p>
    <w:p w:rsidR="00183FCD" w:rsidRPr="00183FCD" w:rsidRDefault="00183FCD" w:rsidP="00183FCD">
      <w:pPr>
        <w:widowControl w:val="0"/>
        <w:spacing w:after="0" w:line="240" w:lineRule="auto"/>
        <w:jc w:val="both"/>
        <w:rPr>
          <w:rFonts w:eastAsia="Times New Roman"/>
          <w:snapToGrid w:val="0"/>
          <w:szCs w:val="24"/>
          <w:lang w:val="en-US" w:eastAsia="en-US"/>
        </w:rPr>
      </w:pPr>
    </w:p>
    <w:p w:rsidR="00183FCD" w:rsidRPr="00183FCD" w:rsidRDefault="00183FCD" w:rsidP="00183FCD">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GB" w:eastAsia="en-US"/>
        </w:rPr>
      </w:pPr>
      <w:r w:rsidRPr="00183FCD">
        <w:rPr>
          <w:rFonts w:eastAsia="Times New Roman"/>
          <w:snapToGrid w:val="0"/>
          <w:szCs w:val="24"/>
          <w:lang w:val="en-GB" w:eastAsia="en-US"/>
        </w:rPr>
        <w:t>Authors wishing to acknowledge financial support from RELUIS (www.reluis.it) project funded by the Italian Civil Protection Department.</w:t>
      </w:r>
    </w:p>
    <w:p w:rsidR="00183FCD" w:rsidRPr="00183FCD" w:rsidRDefault="00183FCD" w:rsidP="00183FCD">
      <w:pPr>
        <w:widowControl w:val="0"/>
        <w:spacing w:after="0" w:line="240" w:lineRule="auto"/>
        <w:jc w:val="both"/>
        <w:rPr>
          <w:rFonts w:eastAsia="Times New Roman"/>
          <w:snapToGrid w:val="0"/>
          <w:szCs w:val="24"/>
          <w:lang w:val="en-US" w:eastAsia="en-US"/>
        </w:rPr>
      </w:pPr>
    </w:p>
    <w:p w:rsidR="00183FCD" w:rsidRPr="00183FCD" w:rsidRDefault="00183FCD" w:rsidP="00183FCD">
      <w:pPr>
        <w:widowControl w:val="0"/>
        <w:spacing w:after="0" w:line="240" w:lineRule="auto"/>
        <w:jc w:val="both"/>
        <w:rPr>
          <w:rFonts w:eastAsia="Times New Roman"/>
          <w:snapToGrid w:val="0"/>
          <w:szCs w:val="24"/>
          <w:lang w:val="en-US" w:eastAsia="en-US"/>
        </w:rPr>
      </w:pPr>
    </w:p>
    <w:p w:rsidR="00183FCD" w:rsidRPr="00183FCD" w:rsidRDefault="00183FCD" w:rsidP="00183FCD">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183FCD">
        <w:rPr>
          <w:rFonts w:eastAsia="Times New Roman"/>
          <w:b/>
          <w:caps/>
          <w:snapToGrid w:val="0"/>
          <w:szCs w:val="24"/>
          <w:lang w:val="en-US" w:eastAsia="en-US"/>
        </w:rPr>
        <w:lastRenderedPageBreak/>
        <w:t>7. References</w:t>
      </w:r>
    </w:p>
    <w:p w:rsidR="00183FCD" w:rsidRPr="00183FCD" w:rsidRDefault="00183FCD" w:rsidP="00183FCD">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183FCD" w:rsidRPr="00183FCD" w:rsidRDefault="00183FCD" w:rsidP="00183FCD">
      <w:pPr>
        <w:widowControl w:val="0"/>
        <w:spacing w:after="120" w:line="240" w:lineRule="auto"/>
        <w:jc w:val="both"/>
        <w:rPr>
          <w:rFonts w:eastAsia="Calibri"/>
          <w:snapToGrid w:val="0"/>
          <w:color w:val="000000"/>
          <w:sz w:val="20"/>
          <w:szCs w:val="20"/>
          <w:lang w:val="en-US" w:eastAsia="en-US" w:bidi="en-US"/>
        </w:rPr>
      </w:pPr>
      <w:r w:rsidRPr="00183FCD">
        <w:rPr>
          <w:rFonts w:eastAsia="Calibri"/>
          <w:snapToGrid w:val="0"/>
          <w:color w:val="000000"/>
          <w:sz w:val="20"/>
          <w:szCs w:val="20"/>
          <w:lang w:val="en-US" w:eastAsia="en-US" w:bidi="en-US"/>
        </w:rPr>
        <w:t xml:space="preserve">Baird, A., Smith, T., Palermo, A., &amp; Pampanin, S. (2014) Experimental and numerical study of U-shape flexural plate (UFP) dissipators. In </w:t>
      </w:r>
      <w:r w:rsidRPr="00183FCD">
        <w:rPr>
          <w:rFonts w:eastAsia="Calibri"/>
          <w:i/>
          <w:iCs/>
          <w:snapToGrid w:val="0"/>
          <w:color w:val="000000"/>
          <w:sz w:val="20"/>
          <w:szCs w:val="20"/>
          <w:lang w:val="en-US" w:eastAsia="en-US" w:bidi="en-US"/>
        </w:rPr>
        <w:t>New Zealand Society for Earthquake Engineering 2014 Technical Conference and AGM</w:t>
      </w:r>
      <w:r w:rsidRPr="00183FCD">
        <w:rPr>
          <w:rFonts w:eastAsia="Calibri"/>
          <w:snapToGrid w:val="0"/>
          <w:color w:val="000000"/>
          <w:sz w:val="20"/>
          <w:szCs w:val="20"/>
          <w:lang w:val="en-US" w:eastAsia="en-US" w:bidi="en-US"/>
        </w:rPr>
        <w:t>. New Zealand Society for Earthquake Engineering, Auckland, New Zealand.</w:t>
      </w:r>
    </w:p>
    <w:p w:rsidR="00183FCD" w:rsidRPr="00183FCD" w:rsidRDefault="00183FCD" w:rsidP="00183FCD">
      <w:pPr>
        <w:widowControl w:val="0"/>
        <w:spacing w:after="120" w:line="240" w:lineRule="auto"/>
        <w:jc w:val="both"/>
        <w:rPr>
          <w:rFonts w:eastAsia="Calibri"/>
          <w:snapToGrid w:val="0"/>
          <w:color w:val="000000"/>
          <w:sz w:val="20"/>
          <w:szCs w:val="20"/>
          <w:lang w:val="en-GB" w:eastAsia="en-US" w:bidi="en-US"/>
        </w:rPr>
      </w:pPr>
      <w:r w:rsidRPr="00183FCD">
        <w:rPr>
          <w:rFonts w:eastAsia="Calibri"/>
          <w:snapToGrid w:val="0"/>
          <w:color w:val="000000"/>
          <w:sz w:val="20"/>
          <w:szCs w:val="20"/>
          <w:lang w:val="en-GB" w:eastAsia="en-US" w:bidi="en-US"/>
        </w:rPr>
        <w:t xml:space="preserve">Bouc, R. (1967) Forced vibration of mechanical system with hysteresis. </w:t>
      </w:r>
      <w:r w:rsidRPr="00183FCD">
        <w:rPr>
          <w:rFonts w:eastAsia="Calibri"/>
          <w:i/>
          <w:iCs/>
          <w:snapToGrid w:val="0"/>
          <w:color w:val="000000"/>
          <w:sz w:val="20"/>
          <w:szCs w:val="20"/>
          <w:lang w:val="en-GB" w:eastAsia="en-US" w:bidi="en-US"/>
        </w:rPr>
        <w:t>4</w:t>
      </w:r>
      <w:r w:rsidRPr="00183FCD">
        <w:rPr>
          <w:rFonts w:eastAsia="Calibri"/>
          <w:i/>
          <w:iCs/>
          <w:snapToGrid w:val="0"/>
          <w:color w:val="000000"/>
          <w:sz w:val="20"/>
          <w:szCs w:val="20"/>
          <w:vertAlign w:val="superscript"/>
          <w:lang w:val="en-GB" w:eastAsia="en-US" w:bidi="en-US"/>
        </w:rPr>
        <w:t>th</w:t>
      </w:r>
      <w:r w:rsidRPr="00183FCD">
        <w:rPr>
          <w:rFonts w:eastAsia="Calibri"/>
          <w:i/>
          <w:iCs/>
          <w:snapToGrid w:val="0"/>
          <w:color w:val="000000"/>
          <w:sz w:val="20"/>
          <w:szCs w:val="20"/>
          <w:lang w:val="en-GB" w:eastAsia="en-US" w:bidi="en-US"/>
        </w:rPr>
        <w:t xml:space="preserve"> Conference on Nonlinear Oscillations</w:t>
      </w:r>
      <w:r w:rsidRPr="00183FCD">
        <w:rPr>
          <w:rFonts w:eastAsia="Calibri"/>
          <w:snapToGrid w:val="0"/>
          <w:color w:val="000000"/>
          <w:sz w:val="20"/>
          <w:szCs w:val="20"/>
          <w:lang w:val="en-GB" w:eastAsia="en-US" w:bidi="en-US"/>
        </w:rPr>
        <w:t>, Prague, CZ.</w:t>
      </w:r>
    </w:p>
    <w:p w:rsidR="00183FCD" w:rsidRPr="00183FCD" w:rsidRDefault="00183FCD" w:rsidP="00183FCD">
      <w:pPr>
        <w:widowControl w:val="0"/>
        <w:spacing w:after="120" w:line="240" w:lineRule="auto"/>
        <w:jc w:val="both"/>
        <w:rPr>
          <w:rFonts w:eastAsia="Calibri"/>
          <w:snapToGrid w:val="0"/>
          <w:color w:val="000000"/>
          <w:sz w:val="20"/>
          <w:szCs w:val="20"/>
          <w:lang w:val="en-US" w:eastAsia="en-US" w:bidi="en-US"/>
        </w:rPr>
      </w:pPr>
      <w:r w:rsidRPr="00183FCD">
        <w:rPr>
          <w:rFonts w:eastAsia="Calibri"/>
          <w:snapToGrid w:val="0"/>
          <w:color w:val="000000"/>
          <w:sz w:val="20"/>
          <w:szCs w:val="20"/>
          <w:lang w:val="en-GB" w:eastAsia="en-US" w:bidi="en-US"/>
        </w:rPr>
        <w:t xml:space="preserve">Buchanan, A., Deam, B., Fragiacomo, M., Pampanin, S., Palermo, A. (2008) Multi-storey prestressed timber buildings in New Zealand. </w:t>
      </w:r>
      <w:r w:rsidRPr="00183FCD">
        <w:rPr>
          <w:rFonts w:eastAsia="Calibri"/>
          <w:i/>
          <w:iCs/>
          <w:snapToGrid w:val="0"/>
          <w:color w:val="000000"/>
          <w:sz w:val="20"/>
          <w:szCs w:val="20"/>
          <w:lang w:val="en-GB" w:eastAsia="en-US" w:bidi="en-US"/>
        </w:rPr>
        <w:t>Journal of the International Association for Bridge and Structural Engineering</w:t>
      </w:r>
      <w:r w:rsidRPr="00183FCD">
        <w:rPr>
          <w:rFonts w:eastAsia="Calibri"/>
          <w:snapToGrid w:val="0"/>
          <w:color w:val="000000"/>
          <w:sz w:val="20"/>
          <w:szCs w:val="20"/>
          <w:lang w:val="en-GB" w:eastAsia="en-US" w:bidi="en-US"/>
        </w:rPr>
        <w:t xml:space="preserve">, </w:t>
      </w:r>
      <w:r w:rsidRPr="00183FCD">
        <w:rPr>
          <w:rFonts w:eastAsia="Calibri"/>
          <w:bCs/>
          <w:snapToGrid w:val="0"/>
          <w:color w:val="000000"/>
          <w:sz w:val="20"/>
          <w:szCs w:val="20"/>
          <w:lang w:val="en-GB" w:eastAsia="en-US" w:bidi="en-US"/>
        </w:rPr>
        <w:t>18</w:t>
      </w:r>
      <w:r w:rsidRPr="00183FCD">
        <w:rPr>
          <w:rFonts w:eastAsia="Calibri"/>
          <w:snapToGrid w:val="0"/>
          <w:color w:val="000000"/>
          <w:sz w:val="20"/>
          <w:szCs w:val="20"/>
          <w:lang w:val="en-GB" w:eastAsia="en-US" w:bidi="en-US"/>
        </w:rPr>
        <w:t>(2): 166–173. https://doi.org/10.2749/101686608784218635</w:t>
      </w:r>
      <w:r w:rsidRPr="00183FCD">
        <w:rPr>
          <w:rFonts w:eastAsia="Calibri"/>
          <w:snapToGrid w:val="0"/>
          <w:color w:val="000000"/>
          <w:sz w:val="20"/>
          <w:szCs w:val="20"/>
          <w:lang w:val="en-US" w:eastAsia="en-US" w:bidi="en-US"/>
        </w:rPr>
        <w:t>.</w:t>
      </w:r>
    </w:p>
    <w:p w:rsidR="00183FCD" w:rsidRPr="00183FCD" w:rsidRDefault="00183FCD" w:rsidP="00183FCD">
      <w:pPr>
        <w:widowControl w:val="0"/>
        <w:spacing w:after="120" w:line="240" w:lineRule="auto"/>
        <w:jc w:val="both"/>
        <w:rPr>
          <w:rFonts w:eastAsia="Calibri"/>
          <w:snapToGrid w:val="0"/>
          <w:color w:val="000000"/>
          <w:sz w:val="20"/>
          <w:szCs w:val="20"/>
          <w:lang w:val="it-IT" w:eastAsia="en-US" w:bidi="en-US"/>
        </w:rPr>
      </w:pPr>
      <w:r w:rsidRPr="00183FCD">
        <w:rPr>
          <w:rFonts w:eastAsia="Calibri"/>
          <w:snapToGrid w:val="0"/>
          <w:color w:val="000000"/>
          <w:sz w:val="20"/>
          <w:szCs w:val="20"/>
          <w:lang w:val="it-IT" w:eastAsia="en-US" w:bidi="en-US"/>
        </w:rPr>
        <w:t>CNR-DT 206 R1/2018 - Istruzioni per la Progettazione, l'Esecuzione ed il Controllo delle Strutture di Legno</w:t>
      </w:r>
    </w:p>
    <w:p w:rsidR="00183FCD" w:rsidRPr="00183FCD" w:rsidRDefault="00183FCD" w:rsidP="00183FCD">
      <w:pPr>
        <w:widowControl w:val="0"/>
        <w:spacing w:after="120" w:line="240" w:lineRule="auto"/>
        <w:jc w:val="both"/>
        <w:rPr>
          <w:rFonts w:eastAsia="Calibri"/>
          <w:snapToGrid w:val="0"/>
          <w:color w:val="000000"/>
          <w:sz w:val="20"/>
          <w:szCs w:val="20"/>
          <w:lang w:val="en-GB" w:eastAsia="en-US" w:bidi="en-US"/>
        </w:rPr>
      </w:pPr>
      <w:r w:rsidRPr="00183FCD">
        <w:rPr>
          <w:rFonts w:eastAsia="Calibri"/>
          <w:snapToGrid w:val="0"/>
          <w:color w:val="000000"/>
          <w:sz w:val="20"/>
          <w:szCs w:val="20"/>
          <w:lang w:val="en-GB" w:eastAsia="en-US" w:bidi="en-US"/>
        </w:rPr>
        <w:t>Computers and Structures Inc. 2014. SAP 2000 v. 16.1.0 [Software]. Computers and Structures, Inc.: Berkeley, CA.</w:t>
      </w:r>
    </w:p>
    <w:p w:rsidR="00183FCD" w:rsidRPr="00183FCD" w:rsidRDefault="00183FCD" w:rsidP="00183FCD">
      <w:pPr>
        <w:widowControl w:val="0"/>
        <w:spacing w:after="120" w:line="240" w:lineRule="auto"/>
        <w:jc w:val="both"/>
        <w:rPr>
          <w:rFonts w:eastAsia="Calibri"/>
          <w:snapToGrid w:val="0"/>
          <w:color w:val="000000"/>
          <w:sz w:val="20"/>
          <w:szCs w:val="20"/>
          <w:lang w:val="en-GB" w:eastAsia="en-US" w:bidi="en-US"/>
        </w:rPr>
      </w:pPr>
      <w:r w:rsidRPr="00183FCD">
        <w:rPr>
          <w:rFonts w:eastAsia="Calibri"/>
          <w:snapToGrid w:val="0"/>
          <w:color w:val="000000"/>
          <w:sz w:val="20"/>
          <w:szCs w:val="20"/>
          <w:lang w:val="en-US" w:eastAsia="en-US" w:bidi="en-US"/>
        </w:rPr>
        <w:t>Di Cesare, A., Ponzo, F.C., Nigro, D., (2014) Assessment of the performance of hysteretic energy dissipation bracing systems, Bullettin of Earthquake Engineering 12 (6), 2777</w:t>
      </w:r>
      <w:r w:rsidRPr="00183FCD">
        <w:rPr>
          <w:rFonts w:eastAsia="Calibri" w:hint="eastAsia"/>
          <w:snapToGrid w:val="0"/>
          <w:color w:val="000000"/>
          <w:sz w:val="20"/>
          <w:szCs w:val="20"/>
          <w:lang w:val="en-US" w:eastAsia="en-US" w:bidi="en-US"/>
        </w:rPr>
        <w:t>–</w:t>
      </w:r>
      <w:r w:rsidRPr="00183FCD">
        <w:rPr>
          <w:rFonts w:eastAsia="Calibri"/>
          <w:snapToGrid w:val="0"/>
          <w:color w:val="000000"/>
          <w:sz w:val="20"/>
          <w:szCs w:val="20"/>
          <w:lang w:val="en-US" w:eastAsia="en-US" w:bidi="en-US"/>
        </w:rPr>
        <w:t>2796.</w:t>
      </w:r>
    </w:p>
    <w:p w:rsidR="00183FCD" w:rsidRPr="00183FCD" w:rsidRDefault="00183FCD" w:rsidP="00183FCD">
      <w:pPr>
        <w:widowControl w:val="0"/>
        <w:spacing w:after="120" w:line="240" w:lineRule="auto"/>
        <w:jc w:val="both"/>
        <w:rPr>
          <w:rFonts w:eastAsia="Calibri"/>
          <w:snapToGrid w:val="0"/>
          <w:color w:val="000000"/>
          <w:sz w:val="20"/>
          <w:szCs w:val="20"/>
          <w:lang w:val="en-US" w:eastAsia="en-US" w:bidi="en-US"/>
        </w:rPr>
      </w:pPr>
      <w:r w:rsidRPr="00183FCD">
        <w:rPr>
          <w:rFonts w:eastAsia="Calibri"/>
          <w:snapToGrid w:val="0"/>
          <w:color w:val="000000"/>
          <w:sz w:val="20"/>
          <w:szCs w:val="20"/>
          <w:lang w:val="it-IT" w:eastAsia="en-US" w:bidi="en-US"/>
        </w:rPr>
        <w:t xml:space="preserve">Di Cesare, A., &amp; Ponzo, F. C. (2017a). </w:t>
      </w:r>
      <w:r w:rsidRPr="00183FCD">
        <w:rPr>
          <w:rFonts w:eastAsia="Calibri"/>
          <w:snapToGrid w:val="0"/>
          <w:color w:val="000000"/>
          <w:sz w:val="20"/>
          <w:szCs w:val="20"/>
          <w:lang w:val="en-US" w:eastAsia="en-US" w:bidi="en-US"/>
        </w:rPr>
        <w:t xml:space="preserve">Seismic retrofit of reinforced concrete frame buildings with hysteretic bracing systems: design procedure and behaviour factor. </w:t>
      </w:r>
      <w:r w:rsidRPr="00183FCD">
        <w:rPr>
          <w:rFonts w:eastAsia="Calibri"/>
          <w:i/>
          <w:iCs/>
          <w:snapToGrid w:val="0"/>
          <w:color w:val="000000"/>
          <w:sz w:val="20"/>
          <w:szCs w:val="20"/>
          <w:lang w:val="en-US" w:eastAsia="en-US" w:bidi="en-US"/>
        </w:rPr>
        <w:t>Shock and Vibration</w:t>
      </w:r>
      <w:r w:rsidRPr="00183FCD">
        <w:rPr>
          <w:rFonts w:eastAsia="Calibri"/>
          <w:snapToGrid w:val="0"/>
          <w:color w:val="000000"/>
          <w:sz w:val="20"/>
          <w:szCs w:val="20"/>
          <w:lang w:val="en-US" w:eastAsia="en-US" w:bidi="en-US"/>
        </w:rPr>
        <w:t xml:space="preserve">, </w:t>
      </w:r>
      <w:r w:rsidRPr="00183FCD">
        <w:rPr>
          <w:rFonts w:eastAsia="Calibri"/>
          <w:i/>
          <w:iCs/>
          <w:snapToGrid w:val="0"/>
          <w:color w:val="000000"/>
          <w:sz w:val="20"/>
          <w:szCs w:val="20"/>
          <w:lang w:val="en-US" w:eastAsia="en-US" w:bidi="en-US"/>
        </w:rPr>
        <w:t>2017</w:t>
      </w:r>
      <w:r w:rsidRPr="00183FCD">
        <w:rPr>
          <w:rFonts w:eastAsia="Calibri"/>
          <w:snapToGrid w:val="0"/>
          <w:color w:val="000000"/>
          <w:sz w:val="20"/>
          <w:szCs w:val="20"/>
          <w:lang w:val="en-US" w:eastAsia="en-US" w:bidi="en-US"/>
        </w:rPr>
        <w:t>.</w:t>
      </w:r>
    </w:p>
    <w:p w:rsidR="00183FCD" w:rsidRPr="00183FCD" w:rsidRDefault="00183FCD" w:rsidP="00183FCD">
      <w:pPr>
        <w:widowControl w:val="0"/>
        <w:spacing w:after="120" w:line="240" w:lineRule="auto"/>
        <w:jc w:val="both"/>
        <w:rPr>
          <w:rFonts w:eastAsia="Calibri"/>
          <w:snapToGrid w:val="0"/>
          <w:color w:val="000000"/>
          <w:sz w:val="20"/>
          <w:szCs w:val="20"/>
          <w:lang w:val="en-US" w:eastAsia="en-US" w:bidi="en-US"/>
        </w:rPr>
      </w:pPr>
      <w:r w:rsidRPr="00183FCD">
        <w:rPr>
          <w:rFonts w:eastAsia="Calibri"/>
          <w:snapToGrid w:val="0"/>
          <w:color w:val="000000"/>
          <w:sz w:val="20"/>
          <w:szCs w:val="20"/>
          <w:lang w:val="en-US" w:eastAsia="en-US" w:bidi="en-US"/>
        </w:rPr>
        <w:t xml:space="preserve">Di Cesare, A., Ponzo, F. C., Nigro, D., Pampanin, S., &amp; Smith, T. (2017b) Shaking table testing of post-tensioned timber frame building with passive energy dissipation systems. </w:t>
      </w:r>
      <w:r w:rsidRPr="00183FCD">
        <w:rPr>
          <w:rFonts w:eastAsia="Calibri"/>
          <w:i/>
          <w:iCs/>
          <w:snapToGrid w:val="0"/>
          <w:color w:val="000000"/>
          <w:sz w:val="20"/>
          <w:szCs w:val="20"/>
          <w:lang w:val="en-US" w:eastAsia="en-US" w:bidi="en-US"/>
        </w:rPr>
        <w:t>Bulletin of Earthquake Engineering</w:t>
      </w:r>
      <w:r w:rsidRPr="00183FCD">
        <w:rPr>
          <w:rFonts w:eastAsia="Calibri"/>
          <w:snapToGrid w:val="0"/>
          <w:color w:val="000000"/>
          <w:sz w:val="20"/>
          <w:szCs w:val="20"/>
          <w:lang w:val="en-US" w:eastAsia="en-US" w:bidi="en-US"/>
        </w:rPr>
        <w:t xml:space="preserve">, </w:t>
      </w:r>
      <w:r w:rsidRPr="00183FCD">
        <w:rPr>
          <w:rFonts w:eastAsia="Calibri"/>
          <w:iCs/>
          <w:snapToGrid w:val="0"/>
          <w:color w:val="000000"/>
          <w:sz w:val="20"/>
          <w:szCs w:val="20"/>
          <w:lang w:val="en-US" w:eastAsia="en-US" w:bidi="en-US"/>
        </w:rPr>
        <w:t>15</w:t>
      </w:r>
      <w:r w:rsidRPr="00183FCD">
        <w:rPr>
          <w:rFonts w:eastAsia="Calibri"/>
          <w:snapToGrid w:val="0"/>
          <w:color w:val="000000"/>
          <w:sz w:val="20"/>
          <w:szCs w:val="20"/>
          <w:lang w:val="en-US" w:eastAsia="en-US" w:bidi="en-US"/>
        </w:rPr>
        <w:t>(10): 4475-4498.</w:t>
      </w:r>
    </w:p>
    <w:p w:rsidR="00183FCD" w:rsidRPr="00183FCD" w:rsidRDefault="00183FCD" w:rsidP="00183FCD">
      <w:pPr>
        <w:widowControl w:val="0"/>
        <w:spacing w:after="120" w:line="240" w:lineRule="auto"/>
        <w:jc w:val="both"/>
        <w:rPr>
          <w:rFonts w:eastAsia="Calibri"/>
          <w:snapToGrid w:val="0"/>
          <w:color w:val="000000"/>
          <w:sz w:val="20"/>
          <w:szCs w:val="20"/>
          <w:lang w:val="en-US" w:eastAsia="en-US" w:bidi="en-US"/>
        </w:rPr>
      </w:pPr>
      <w:r w:rsidRPr="00183FCD">
        <w:rPr>
          <w:rFonts w:eastAsia="Calibri"/>
          <w:snapToGrid w:val="0"/>
          <w:color w:val="000000"/>
          <w:sz w:val="20"/>
          <w:szCs w:val="20"/>
          <w:lang w:val="en-US" w:eastAsia="en-US" w:bidi="en-US"/>
        </w:rPr>
        <w:t xml:space="preserve">Di Cesare, A., Ponzo, F. C., Pampanin, S., Smith, T., Nigro, D., &amp; Lamarucciola, N. (2019a) Displacement based design of post-tensioned timber framed buildings with dissipative rocking mechanism. </w:t>
      </w:r>
      <w:r w:rsidRPr="00183FCD">
        <w:rPr>
          <w:rFonts w:eastAsia="Calibri"/>
          <w:i/>
          <w:iCs/>
          <w:snapToGrid w:val="0"/>
          <w:color w:val="000000"/>
          <w:sz w:val="20"/>
          <w:szCs w:val="20"/>
          <w:lang w:val="en-US" w:eastAsia="en-US" w:bidi="en-US"/>
        </w:rPr>
        <w:t>Soil Dynamics and Earthquake Engineering</w:t>
      </w:r>
      <w:r w:rsidRPr="00183FCD">
        <w:rPr>
          <w:rFonts w:eastAsia="Calibri"/>
          <w:snapToGrid w:val="0"/>
          <w:color w:val="000000"/>
          <w:sz w:val="20"/>
          <w:szCs w:val="20"/>
          <w:lang w:val="en-US" w:eastAsia="en-US" w:bidi="en-US"/>
        </w:rPr>
        <w:t>, (</w:t>
      </w:r>
      <w:r w:rsidRPr="00183FCD">
        <w:rPr>
          <w:rFonts w:eastAsia="Calibri"/>
          <w:iCs/>
          <w:snapToGrid w:val="0"/>
          <w:color w:val="000000"/>
          <w:sz w:val="20"/>
          <w:szCs w:val="20"/>
          <w:lang w:val="en-US" w:eastAsia="en-US" w:bidi="en-US"/>
        </w:rPr>
        <w:t>116</w:t>
      </w:r>
      <w:r w:rsidRPr="00183FCD">
        <w:rPr>
          <w:rFonts w:eastAsia="Calibri"/>
          <w:snapToGrid w:val="0"/>
          <w:color w:val="000000"/>
          <w:sz w:val="20"/>
          <w:szCs w:val="20"/>
          <w:lang w:val="en-US" w:eastAsia="en-US" w:bidi="en-US"/>
        </w:rPr>
        <w:t>): 317-330.</w:t>
      </w:r>
    </w:p>
    <w:p w:rsidR="00183FCD" w:rsidRPr="00183FCD" w:rsidRDefault="00183FCD" w:rsidP="00183FCD">
      <w:pPr>
        <w:widowControl w:val="0"/>
        <w:spacing w:after="120" w:line="240" w:lineRule="auto"/>
        <w:jc w:val="both"/>
        <w:rPr>
          <w:rFonts w:eastAsia="Calibri"/>
          <w:snapToGrid w:val="0"/>
          <w:color w:val="000000"/>
          <w:sz w:val="20"/>
          <w:szCs w:val="20"/>
          <w:lang w:val="en-US" w:eastAsia="en-US" w:bidi="en-US"/>
        </w:rPr>
      </w:pPr>
      <w:bookmarkStart w:id="1" w:name="_Ref2449936"/>
      <w:r w:rsidRPr="00183FCD">
        <w:rPr>
          <w:rFonts w:eastAsia="Calibri"/>
          <w:snapToGrid w:val="0"/>
          <w:color w:val="000000"/>
          <w:sz w:val="20"/>
          <w:szCs w:val="20"/>
          <w:lang w:val="en-US" w:eastAsia="en-US" w:bidi="en-US"/>
        </w:rPr>
        <w:t xml:space="preserve">Di Cesare A., Ponzo F. C., Lamarucciola N., Nigro D., (2019b). Modelling of post-tensioned timber framed buildings with hysteretic bracing system: preliminary analysis. </w:t>
      </w:r>
      <w:r w:rsidRPr="00183FCD">
        <w:rPr>
          <w:rFonts w:eastAsia="Calibri"/>
          <w:i/>
          <w:snapToGrid w:val="0"/>
          <w:color w:val="000000"/>
          <w:sz w:val="20"/>
          <w:szCs w:val="20"/>
          <w:lang w:val="en-US" w:eastAsia="en-US" w:bidi="en-US"/>
        </w:rPr>
        <w:t>IOP Conference Series Earth and Environmental Science</w:t>
      </w:r>
      <w:r w:rsidRPr="00183FCD">
        <w:rPr>
          <w:rFonts w:eastAsia="Calibri"/>
          <w:snapToGrid w:val="0"/>
          <w:color w:val="000000"/>
          <w:sz w:val="20"/>
          <w:szCs w:val="20"/>
          <w:lang w:val="en-US" w:eastAsia="en-US" w:bidi="en-US"/>
        </w:rPr>
        <w:t xml:space="preserve"> 233</w:t>
      </w:r>
      <w:r w:rsidRPr="00183FCD">
        <w:rPr>
          <w:rFonts w:eastAsia="Calibri"/>
          <w:b/>
          <w:snapToGrid w:val="0"/>
          <w:color w:val="000000"/>
          <w:sz w:val="20"/>
          <w:szCs w:val="20"/>
          <w:lang w:val="en-US" w:eastAsia="en-US" w:bidi="en-US"/>
        </w:rPr>
        <w:t xml:space="preserve"> </w:t>
      </w:r>
      <w:r w:rsidRPr="00183FCD">
        <w:rPr>
          <w:rFonts w:eastAsia="Calibri"/>
          <w:snapToGrid w:val="0"/>
          <w:color w:val="000000"/>
          <w:sz w:val="20"/>
          <w:szCs w:val="20"/>
          <w:lang w:val="en-US" w:eastAsia="en-US" w:bidi="en-US"/>
        </w:rPr>
        <w:t>022026. doi:10.1088/1755-1315/233/2/022026</w:t>
      </w:r>
      <w:bookmarkEnd w:id="1"/>
    </w:p>
    <w:p w:rsidR="00183FCD" w:rsidRPr="00183FCD" w:rsidRDefault="00183FCD" w:rsidP="00183FCD">
      <w:pPr>
        <w:widowControl w:val="0"/>
        <w:spacing w:after="120" w:line="240" w:lineRule="auto"/>
        <w:jc w:val="both"/>
        <w:rPr>
          <w:rFonts w:eastAsia="Calibri"/>
          <w:snapToGrid w:val="0"/>
          <w:color w:val="000000"/>
          <w:sz w:val="20"/>
          <w:szCs w:val="20"/>
          <w:lang w:val="it-IT" w:eastAsia="en-US" w:bidi="en-US"/>
        </w:rPr>
      </w:pPr>
      <w:r w:rsidRPr="00183FCD">
        <w:rPr>
          <w:rFonts w:eastAsia="Calibri"/>
          <w:snapToGrid w:val="0"/>
          <w:color w:val="000000"/>
          <w:sz w:val="20"/>
          <w:szCs w:val="20"/>
          <w:lang w:val="en-US" w:eastAsia="en-US" w:bidi="en-US"/>
        </w:rPr>
        <w:t xml:space="preserve">D.M. 17/01/2018. </w:t>
      </w:r>
      <w:r w:rsidRPr="00183FCD">
        <w:rPr>
          <w:rFonts w:eastAsia="Calibri"/>
          <w:i/>
          <w:iCs/>
          <w:snapToGrid w:val="0"/>
          <w:color w:val="000000"/>
          <w:sz w:val="20"/>
          <w:szCs w:val="20"/>
          <w:lang w:val="it-IT" w:eastAsia="en-US" w:bidi="en-US"/>
        </w:rPr>
        <w:t xml:space="preserve">Norme Tecniche per le Costruzioni (NTC 2018). </w:t>
      </w:r>
      <w:r w:rsidRPr="00183FCD">
        <w:rPr>
          <w:rFonts w:eastAsia="Calibri"/>
          <w:snapToGrid w:val="0"/>
          <w:color w:val="000000"/>
          <w:sz w:val="20"/>
          <w:szCs w:val="20"/>
          <w:lang w:val="it-IT" w:eastAsia="en-US" w:bidi="en-US"/>
        </w:rPr>
        <w:t xml:space="preserve">Gazzetta Ufficiale, n. 42 del 20/02/2018, Supplemento ordinario n.8 </w:t>
      </w:r>
    </w:p>
    <w:p w:rsidR="00183FCD" w:rsidRPr="00183FCD" w:rsidRDefault="00183FCD" w:rsidP="00183FCD">
      <w:pPr>
        <w:widowControl w:val="0"/>
        <w:spacing w:after="120" w:line="240" w:lineRule="auto"/>
        <w:jc w:val="both"/>
        <w:rPr>
          <w:rFonts w:eastAsia="Calibri"/>
          <w:snapToGrid w:val="0"/>
          <w:color w:val="000000"/>
          <w:sz w:val="20"/>
          <w:szCs w:val="20"/>
          <w:lang w:val="en-GB" w:eastAsia="en-US" w:bidi="en-US"/>
        </w:rPr>
      </w:pPr>
      <w:r w:rsidRPr="00183FCD">
        <w:rPr>
          <w:rFonts w:eastAsia="Calibri"/>
          <w:snapToGrid w:val="0"/>
          <w:color w:val="000000"/>
          <w:sz w:val="20"/>
          <w:szCs w:val="20"/>
          <w:lang w:val="en-US" w:eastAsia="en-US" w:bidi="en-US"/>
        </w:rPr>
        <w:t xml:space="preserve">EN 1998-1:2004+A1. Eurocode 8: Design of structures for earthquake resistance - Part 1: General rules, seismic actions and rules for buildings. </w:t>
      </w:r>
      <w:r w:rsidRPr="00183FCD">
        <w:rPr>
          <w:rFonts w:eastAsia="Calibri"/>
          <w:snapToGrid w:val="0"/>
          <w:color w:val="000000"/>
          <w:sz w:val="20"/>
          <w:szCs w:val="20"/>
          <w:lang w:val="en-GB" w:eastAsia="en-US" w:bidi="en-US"/>
        </w:rPr>
        <w:t>CEN European Committee for Standardization, Brussels; 2013.</w:t>
      </w:r>
    </w:p>
    <w:p w:rsidR="00183FCD" w:rsidRPr="00183FCD" w:rsidRDefault="00183FCD" w:rsidP="00183FCD">
      <w:pPr>
        <w:widowControl w:val="0"/>
        <w:spacing w:after="120" w:line="240" w:lineRule="auto"/>
        <w:jc w:val="both"/>
        <w:rPr>
          <w:rFonts w:eastAsia="Calibri"/>
          <w:snapToGrid w:val="0"/>
          <w:color w:val="000000"/>
          <w:sz w:val="20"/>
          <w:szCs w:val="20"/>
          <w:lang w:val="it-IT" w:eastAsia="en-US" w:bidi="en-US"/>
        </w:rPr>
      </w:pPr>
      <w:r w:rsidRPr="00183FCD">
        <w:rPr>
          <w:rFonts w:eastAsia="Calibri"/>
          <w:snapToGrid w:val="0"/>
          <w:color w:val="000000"/>
          <w:sz w:val="20"/>
          <w:szCs w:val="20"/>
          <w:lang w:val="en-US" w:eastAsia="en-US" w:bidi="en-US"/>
        </w:rPr>
        <w:t xml:space="preserve">Mazza, F., &amp; Mazza, M. (2019). Seismic retrofitting of gravity-loads designed rc framed buildings combining CFRP and hysteretic damped braces. </w:t>
      </w:r>
      <w:r w:rsidRPr="00183FCD">
        <w:rPr>
          <w:rFonts w:eastAsia="Calibri"/>
          <w:i/>
          <w:iCs/>
          <w:snapToGrid w:val="0"/>
          <w:color w:val="000000"/>
          <w:sz w:val="20"/>
          <w:szCs w:val="20"/>
          <w:lang w:val="it-IT" w:eastAsia="en-US" w:bidi="en-US"/>
        </w:rPr>
        <w:t>Bulletin of Earthquake Engineering</w:t>
      </w:r>
      <w:r w:rsidRPr="00183FCD">
        <w:rPr>
          <w:rFonts w:eastAsia="Calibri"/>
          <w:snapToGrid w:val="0"/>
          <w:color w:val="000000"/>
          <w:sz w:val="20"/>
          <w:szCs w:val="20"/>
          <w:lang w:val="it-IT" w:eastAsia="en-US" w:bidi="en-US"/>
        </w:rPr>
        <w:t>, 1-23.</w:t>
      </w:r>
    </w:p>
    <w:p w:rsidR="00183FCD" w:rsidRPr="00183FCD" w:rsidRDefault="00183FCD" w:rsidP="00183FCD">
      <w:pPr>
        <w:widowControl w:val="0"/>
        <w:spacing w:after="120" w:line="240" w:lineRule="auto"/>
        <w:jc w:val="both"/>
        <w:rPr>
          <w:rFonts w:eastAsia="Calibri"/>
          <w:snapToGrid w:val="0"/>
          <w:color w:val="000000"/>
          <w:sz w:val="20"/>
          <w:szCs w:val="20"/>
          <w:lang w:val="it-IT" w:eastAsia="en-US" w:bidi="en-US"/>
        </w:rPr>
      </w:pPr>
      <w:bookmarkStart w:id="2" w:name="_Ref2260839"/>
      <w:r w:rsidRPr="00183FCD">
        <w:rPr>
          <w:rFonts w:eastAsia="Calibri"/>
          <w:snapToGrid w:val="0"/>
          <w:color w:val="000000"/>
          <w:sz w:val="20"/>
          <w:szCs w:val="20"/>
          <w:lang w:val="it-IT" w:eastAsia="en-US" w:bidi="en-US"/>
        </w:rPr>
        <w:t>NTC 2018, Norme Tecniche per le Costruzioni, Decreto ministeriale del 17 gennaio 2018, in Italian (Italian Building Code, 2018).</w:t>
      </w:r>
      <w:bookmarkEnd w:id="2"/>
    </w:p>
    <w:p w:rsidR="00183FCD" w:rsidRPr="00183FCD" w:rsidRDefault="00183FCD" w:rsidP="00183FCD">
      <w:pPr>
        <w:widowControl w:val="0"/>
        <w:spacing w:after="120" w:line="240" w:lineRule="auto"/>
        <w:jc w:val="both"/>
        <w:rPr>
          <w:rFonts w:eastAsia="Calibri"/>
          <w:snapToGrid w:val="0"/>
          <w:color w:val="000000"/>
          <w:sz w:val="20"/>
          <w:szCs w:val="20"/>
          <w:lang w:val="en-GB" w:eastAsia="en-US" w:bidi="en-US"/>
        </w:rPr>
      </w:pPr>
      <w:r w:rsidRPr="00183FCD">
        <w:rPr>
          <w:rFonts w:eastAsia="Calibri"/>
          <w:snapToGrid w:val="0"/>
          <w:color w:val="000000"/>
          <w:sz w:val="20"/>
          <w:szCs w:val="20"/>
          <w:lang w:val="en-GB" w:eastAsia="en-US" w:bidi="en-US"/>
        </w:rPr>
        <w:t xml:space="preserve">Ponzo, F. C., Di Cesare, A., Lamarucciola, N., Nigro, D., Pampanin, S. (2017) Modelling of post-tensioned timber framed buildings with seismic rocking mechanism at the column-foundation connections. </w:t>
      </w:r>
      <w:r w:rsidRPr="00183FCD">
        <w:rPr>
          <w:rFonts w:eastAsia="Calibri"/>
          <w:i/>
          <w:snapToGrid w:val="0"/>
          <w:color w:val="000000"/>
          <w:sz w:val="20"/>
          <w:szCs w:val="20"/>
          <w:lang w:val="en-GB" w:eastAsia="en-US" w:bidi="en-US"/>
        </w:rPr>
        <w:t>International Journal of Computational methods and Experimental Measurements</w:t>
      </w:r>
      <w:r w:rsidRPr="00183FCD">
        <w:rPr>
          <w:rFonts w:eastAsia="Calibri"/>
          <w:snapToGrid w:val="0"/>
          <w:color w:val="000000"/>
          <w:sz w:val="20"/>
          <w:szCs w:val="20"/>
          <w:lang w:val="en-GB" w:eastAsia="en-US" w:bidi="en-US"/>
        </w:rPr>
        <w:t xml:space="preserve">, </w:t>
      </w:r>
      <w:r w:rsidRPr="00183FCD">
        <w:rPr>
          <w:rFonts w:eastAsia="Calibri"/>
          <w:bCs/>
          <w:snapToGrid w:val="0"/>
          <w:color w:val="000000"/>
          <w:sz w:val="20"/>
          <w:szCs w:val="20"/>
          <w:lang w:val="en-GB" w:eastAsia="en-US" w:bidi="en-US"/>
        </w:rPr>
        <w:t>5</w:t>
      </w:r>
      <w:r w:rsidRPr="00183FCD">
        <w:rPr>
          <w:rFonts w:eastAsia="Calibri"/>
          <w:snapToGrid w:val="0"/>
          <w:color w:val="000000"/>
          <w:sz w:val="20"/>
          <w:szCs w:val="20"/>
          <w:lang w:val="en-GB" w:eastAsia="en-US" w:bidi="en-US"/>
        </w:rPr>
        <w:t>(6): 966–978.</w:t>
      </w:r>
    </w:p>
    <w:p w:rsidR="00183FCD" w:rsidRPr="00183FCD" w:rsidRDefault="00183FCD" w:rsidP="00183FCD">
      <w:pPr>
        <w:widowControl w:val="0"/>
        <w:spacing w:after="120" w:line="240" w:lineRule="auto"/>
        <w:jc w:val="both"/>
        <w:rPr>
          <w:rFonts w:eastAsia="Calibri"/>
          <w:snapToGrid w:val="0"/>
          <w:color w:val="000000"/>
          <w:sz w:val="20"/>
          <w:szCs w:val="20"/>
          <w:lang w:val="en-US" w:eastAsia="en-US" w:bidi="en-US"/>
        </w:rPr>
      </w:pPr>
      <w:r w:rsidRPr="00183FCD">
        <w:rPr>
          <w:rFonts w:eastAsia="Calibri"/>
          <w:snapToGrid w:val="0"/>
          <w:color w:val="000000"/>
          <w:sz w:val="20"/>
          <w:szCs w:val="20"/>
          <w:lang w:val="en-US" w:eastAsia="en-US" w:bidi="en-US"/>
        </w:rPr>
        <w:t xml:space="preserve">Ponzo, F. C., Di Cesare, A., Lamarucciola, N., Nigro, D. (2019) </w:t>
      </w:r>
      <w:r w:rsidRPr="00183FCD">
        <w:rPr>
          <w:rFonts w:eastAsia="Calibri"/>
          <w:bCs/>
          <w:snapToGrid w:val="0"/>
          <w:color w:val="000000"/>
          <w:sz w:val="20"/>
          <w:szCs w:val="20"/>
          <w:lang w:val="en-US" w:eastAsia="en-US" w:bidi="en-US"/>
        </w:rPr>
        <w:t>Testing requirements of hysteretic energy dissipating devices according to the new italian seismic code, Compdyn 2019, 24-26 June, Crete,</w:t>
      </w:r>
      <w:r w:rsidRPr="00183FCD">
        <w:rPr>
          <w:rFonts w:eastAsia="Calibri"/>
          <w:snapToGrid w:val="0"/>
          <w:color w:val="000000"/>
          <w:sz w:val="16"/>
          <w:szCs w:val="16"/>
          <w:lang w:val="en-US" w:eastAsia="en-US" w:bidi="en-US"/>
        </w:rPr>
        <w:t xml:space="preserve"> </w:t>
      </w:r>
      <w:r w:rsidRPr="00183FCD">
        <w:rPr>
          <w:rFonts w:eastAsia="Calibri"/>
          <w:bCs/>
          <w:snapToGrid w:val="0"/>
          <w:color w:val="000000"/>
          <w:sz w:val="20"/>
          <w:szCs w:val="20"/>
          <w:lang w:val="en-US" w:eastAsia="en-US" w:bidi="en-US"/>
        </w:rPr>
        <w:t>Greece.</w:t>
      </w:r>
      <w:r w:rsidRPr="00183FCD">
        <w:rPr>
          <w:rFonts w:eastAsia="Calibri"/>
          <w:snapToGrid w:val="0"/>
          <w:color w:val="FF0000"/>
          <w:sz w:val="20"/>
          <w:szCs w:val="20"/>
          <w:lang w:val="en-US" w:eastAsia="en-US" w:bidi="en-US"/>
        </w:rPr>
        <w:t xml:space="preserve"> </w:t>
      </w:r>
    </w:p>
    <w:p w:rsidR="00183FCD" w:rsidRPr="00183FCD" w:rsidRDefault="00183FCD" w:rsidP="00183FCD">
      <w:pPr>
        <w:widowControl w:val="0"/>
        <w:spacing w:after="120" w:line="240" w:lineRule="auto"/>
        <w:jc w:val="both"/>
        <w:rPr>
          <w:rFonts w:eastAsia="Calibri"/>
          <w:snapToGrid w:val="0"/>
          <w:color w:val="000000"/>
          <w:sz w:val="20"/>
          <w:szCs w:val="20"/>
          <w:lang w:val="en-GB" w:eastAsia="en-US" w:bidi="en-US"/>
        </w:rPr>
      </w:pPr>
      <w:r w:rsidRPr="00183FCD">
        <w:rPr>
          <w:rFonts w:eastAsia="Calibri"/>
          <w:snapToGrid w:val="0"/>
          <w:color w:val="000000"/>
          <w:sz w:val="20"/>
          <w:szCs w:val="20"/>
          <w:lang w:val="en-US" w:eastAsia="en-US" w:bidi="en-US"/>
        </w:rPr>
        <w:t xml:space="preserve">Priestley, N., Sritharan, S., Conley, J., Pampanin, S. (1999). </w:t>
      </w:r>
      <w:r w:rsidRPr="00183FCD">
        <w:rPr>
          <w:rFonts w:eastAsia="Calibri"/>
          <w:snapToGrid w:val="0"/>
          <w:color w:val="000000"/>
          <w:sz w:val="20"/>
          <w:szCs w:val="20"/>
          <w:lang w:val="en-GB" w:eastAsia="en-US" w:bidi="en-US"/>
        </w:rPr>
        <w:t xml:space="preserve">Preliminary results and conclusions. </w:t>
      </w:r>
      <w:r w:rsidRPr="00183FCD">
        <w:rPr>
          <w:rFonts w:eastAsia="Calibri"/>
          <w:i/>
          <w:iCs/>
          <w:snapToGrid w:val="0"/>
          <w:color w:val="000000"/>
          <w:sz w:val="20"/>
          <w:szCs w:val="20"/>
          <w:lang w:val="en-GB" w:eastAsia="en-US" w:bidi="en-US"/>
        </w:rPr>
        <w:t>PRESSS Five-Story Precast Concrete Test Building. PCI Journal</w:t>
      </w:r>
      <w:r w:rsidRPr="00183FCD">
        <w:rPr>
          <w:rFonts w:eastAsia="Calibri"/>
          <w:snapToGrid w:val="0"/>
          <w:color w:val="000000"/>
          <w:sz w:val="20"/>
          <w:szCs w:val="20"/>
          <w:lang w:val="en-GB" w:eastAsia="en-US" w:bidi="en-US"/>
        </w:rPr>
        <w:t xml:space="preserve">, 42–67. </w:t>
      </w:r>
      <w:r w:rsidRPr="00183FCD">
        <w:rPr>
          <w:rFonts w:eastAsia="Calibri"/>
          <w:snapToGrid w:val="0"/>
          <w:color w:val="0000FF"/>
          <w:sz w:val="20"/>
          <w:szCs w:val="20"/>
          <w:u w:val="single"/>
          <w:lang w:val="en-GB" w:eastAsia="en-US" w:bidi="en-US"/>
        </w:rPr>
        <w:t>https://doi.org/10.15554/pcij.11011999.42.67</w:t>
      </w:r>
      <w:r w:rsidRPr="00183FCD">
        <w:rPr>
          <w:rFonts w:eastAsia="Calibri"/>
          <w:snapToGrid w:val="0"/>
          <w:color w:val="000000"/>
          <w:sz w:val="20"/>
          <w:szCs w:val="20"/>
          <w:lang w:val="en-GB" w:eastAsia="en-US" w:bidi="en-US"/>
        </w:rPr>
        <w:t>.</w:t>
      </w:r>
    </w:p>
    <w:p w:rsidR="00183FCD" w:rsidRPr="00183FCD" w:rsidRDefault="00183FCD" w:rsidP="00183FCD">
      <w:pPr>
        <w:widowControl w:val="0"/>
        <w:spacing w:after="120" w:line="240" w:lineRule="auto"/>
        <w:jc w:val="both"/>
        <w:rPr>
          <w:rFonts w:eastAsia="Calibri"/>
          <w:snapToGrid w:val="0"/>
          <w:color w:val="000000"/>
          <w:sz w:val="20"/>
          <w:szCs w:val="20"/>
          <w:lang w:val="en-US" w:eastAsia="en-US" w:bidi="en-US"/>
        </w:rPr>
      </w:pPr>
      <w:r w:rsidRPr="00183FCD">
        <w:rPr>
          <w:rFonts w:eastAsia="Calibri"/>
          <w:snapToGrid w:val="0"/>
          <w:color w:val="000000"/>
          <w:sz w:val="20"/>
          <w:szCs w:val="20"/>
          <w:lang w:val="en-US" w:eastAsia="en-US" w:bidi="en-US"/>
        </w:rPr>
        <w:t xml:space="preserve">Ugalde, D., Almazán, J. L., Santa María, H., &amp; Guindos, P. (2019) Seismic protection technologies for timber structures: a review. </w:t>
      </w:r>
      <w:r w:rsidRPr="00183FCD">
        <w:rPr>
          <w:rFonts w:eastAsia="Calibri"/>
          <w:i/>
          <w:iCs/>
          <w:snapToGrid w:val="0"/>
          <w:color w:val="000000"/>
          <w:sz w:val="20"/>
          <w:szCs w:val="20"/>
          <w:lang w:val="en-US" w:eastAsia="en-US" w:bidi="en-US"/>
        </w:rPr>
        <w:t>European Journal of Wood and Wood Products</w:t>
      </w:r>
      <w:r w:rsidRPr="00183FCD">
        <w:rPr>
          <w:rFonts w:eastAsia="Calibri"/>
          <w:snapToGrid w:val="0"/>
          <w:color w:val="000000"/>
          <w:sz w:val="20"/>
          <w:szCs w:val="20"/>
          <w:lang w:val="en-US" w:eastAsia="en-US" w:bidi="en-US"/>
        </w:rPr>
        <w:t>, 1-22.</w:t>
      </w:r>
    </w:p>
    <w:p w:rsidR="00183FCD" w:rsidRPr="00183FCD" w:rsidRDefault="00183FCD" w:rsidP="00183FCD">
      <w:pPr>
        <w:widowControl w:val="0"/>
        <w:spacing w:after="0" w:line="240" w:lineRule="auto"/>
        <w:jc w:val="both"/>
        <w:rPr>
          <w:rFonts w:eastAsia="Times New Roman" w:cs="Calibri"/>
          <w:snapToGrid w:val="0"/>
          <w:color w:val="0563C1"/>
          <w:sz w:val="20"/>
          <w:szCs w:val="24"/>
          <w:u w:val="single"/>
          <w:lang w:val="en-US" w:eastAsia="en-US"/>
        </w:rPr>
      </w:pPr>
      <w:r w:rsidRPr="00183FCD">
        <w:rPr>
          <w:rFonts w:eastAsia="Times New Roman" w:cs="Calibri"/>
          <w:snapToGrid w:val="0"/>
          <w:sz w:val="20"/>
          <w:szCs w:val="24"/>
          <w:lang w:val="en-GB" w:eastAsia="en-US"/>
        </w:rPr>
        <w:t xml:space="preserve">Wen, Y. K. (1980) Equivalent linearization for hysteretic systems under random excitation. </w:t>
      </w:r>
      <w:r w:rsidRPr="00183FCD">
        <w:rPr>
          <w:rFonts w:eastAsia="Times New Roman" w:cs="Calibri"/>
          <w:i/>
          <w:iCs/>
          <w:snapToGrid w:val="0"/>
          <w:sz w:val="20"/>
          <w:szCs w:val="24"/>
          <w:lang w:val="en-GB" w:eastAsia="en-US"/>
        </w:rPr>
        <w:t>Journal of Applied Mechanics</w:t>
      </w:r>
      <w:r w:rsidRPr="00183FCD">
        <w:rPr>
          <w:rFonts w:eastAsia="Times New Roman" w:cs="Calibri"/>
          <w:snapToGrid w:val="0"/>
          <w:sz w:val="20"/>
          <w:szCs w:val="24"/>
          <w:lang w:val="en-GB" w:eastAsia="en-US"/>
        </w:rPr>
        <w:t xml:space="preserve">, </w:t>
      </w:r>
      <w:r w:rsidRPr="00183FCD">
        <w:rPr>
          <w:rFonts w:eastAsia="Times New Roman" w:cs="Calibri"/>
          <w:bCs/>
          <w:snapToGrid w:val="0"/>
          <w:sz w:val="20"/>
          <w:szCs w:val="24"/>
          <w:lang w:val="en-GB" w:eastAsia="en-US"/>
        </w:rPr>
        <w:t>47</w:t>
      </w:r>
      <w:r w:rsidRPr="00183FCD">
        <w:rPr>
          <w:rFonts w:eastAsia="Times New Roman" w:cs="Calibri"/>
          <w:snapToGrid w:val="0"/>
          <w:sz w:val="20"/>
          <w:szCs w:val="24"/>
          <w:lang w:val="en-GB" w:eastAsia="en-US"/>
        </w:rPr>
        <w:t xml:space="preserve">(1): 150–154. </w:t>
      </w:r>
      <w:hyperlink r:id="rId22" w:history="1">
        <w:r w:rsidRPr="00183FCD">
          <w:rPr>
            <w:rFonts w:eastAsia="Times New Roman" w:cs="Calibri"/>
            <w:snapToGrid w:val="0"/>
            <w:color w:val="0563C1"/>
            <w:sz w:val="20"/>
            <w:szCs w:val="24"/>
            <w:u w:val="single"/>
            <w:lang w:val="en-GB" w:eastAsia="en-US"/>
          </w:rPr>
          <w:t>https://doi.org/10.1115/1.3153594</w:t>
        </w:r>
      </w:hyperlink>
    </w:p>
    <w:p w:rsidR="00183FCD" w:rsidRPr="00183FCD" w:rsidRDefault="00183FCD" w:rsidP="00183FCD">
      <w:pPr>
        <w:widowControl w:val="0"/>
        <w:spacing w:after="0" w:line="240" w:lineRule="auto"/>
        <w:jc w:val="both"/>
        <w:rPr>
          <w:rFonts w:eastAsia="Times New Roman"/>
          <w:snapToGrid w:val="0"/>
          <w:szCs w:val="24"/>
          <w:lang w:val="en-US" w:eastAsia="en-US"/>
        </w:rPr>
      </w:pPr>
    </w:p>
    <w:p w:rsidR="006B3BBD" w:rsidRPr="0013217D" w:rsidRDefault="006B3BBD" w:rsidP="0013217D">
      <w:pPr>
        <w:spacing w:line="240" w:lineRule="auto"/>
        <w:jc w:val="both"/>
      </w:pPr>
    </w:p>
    <w:sectPr w:rsidR="006B3BBD" w:rsidRPr="0013217D" w:rsidSect="00183FCD">
      <w:headerReference w:type="default" r:id="rId23"/>
      <w:footerReference w:type="default" r:id="rId24"/>
      <w:headerReference w:type="first" r:id="rId25"/>
      <w:footerReference w:type="first" r:id="rId26"/>
      <w:pgSz w:w="11906" w:h="16838"/>
      <w:pgMar w:top="1418" w:right="1134" w:bottom="1418" w:left="1134" w:header="709" w:footer="709" w:gutter="0"/>
      <w:pgNumType w:start="21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721" w:rsidRDefault="00216721" w:rsidP="0013217D">
      <w:pPr>
        <w:spacing w:after="0" w:line="240" w:lineRule="auto"/>
      </w:pPr>
      <w:r>
        <w:separator/>
      </w:r>
    </w:p>
  </w:endnote>
  <w:endnote w:type="continuationSeparator" w:id="0">
    <w:p w:rsidR="00216721" w:rsidRDefault="00216721"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724244"/>
      <w:docPartObj>
        <w:docPartGallery w:val="Page Numbers (Bottom of Page)"/>
        <w:docPartUnique/>
      </w:docPartObj>
    </w:sdtPr>
    <w:sdtEndPr/>
    <w:sdtContent>
      <w:p w:rsidR="00183FCD" w:rsidRDefault="00183FCD">
        <w:pPr>
          <w:pStyle w:val="a5"/>
          <w:jc w:val="center"/>
        </w:pPr>
        <w:r>
          <w:fldChar w:fldCharType="begin"/>
        </w:r>
        <w:r>
          <w:instrText>PAGE   \* MERGEFORMAT</w:instrText>
        </w:r>
        <w:r>
          <w:fldChar w:fldCharType="separate"/>
        </w:r>
        <w:r w:rsidR="00176434">
          <w:rPr>
            <w:noProof/>
          </w:rPr>
          <w:t>217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355526"/>
      <w:docPartObj>
        <w:docPartGallery w:val="Page Numbers (Bottom of Page)"/>
        <w:docPartUnique/>
      </w:docPartObj>
    </w:sdtPr>
    <w:sdtEndPr/>
    <w:sdtContent>
      <w:p w:rsidR="00183FCD" w:rsidRDefault="00183FCD">
        <w:pPr>
          <w:pStyle w:val="a5"/>
          <w:jc w:val="center"/>
        </w:pPr>
        <w:r>
          <w:fldChar w:fldCharType="begin"/>
        </w:r>
        <w:r>
          <w:instrText>PAGE   \* MERGEFORMAT</w:instrText>
        </w:r>
        <w:r>
          <w:fldChar w:fldCharType="separate"/>
        </w:r>
        <w:r w:rsidR="00176434">
          <w:rPr>
            <w:noProof/>
          </w:rPr>
          <w:t>210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721" w:rsidRDefault="00216721" w:rsidP="0013217D">
      <w:pPr>
        <w:spacing w:after="0" w:line="240" w:lineRule="auto"/>
      </w:pPr>
      <w:r>
        <w:separator/>
      </w:r>
    </w:p>
  </w:footnote>
  <w:footnote w:type="continuationSeparator" w:id="0">
    <w:p w:rsidR="00216721" w:rsidRDefault="00216721" w:rsidP="0013217D">
      <w:pPr>
        <w:spacing w:after="0" w:line="240" w:lineRule="auto"/>
      </w:pPr>
      <w:r>
        <w:continuationSeparator/>
      </w:r>
    </w:p>
  </w:footnote>
  <w:footnote w:id="1">
    <w:p w:rsidR="00183FCD" w:rsidRPr="00183FCD" w:rsidRDefault="00183FCD" w:rsidP="00183FCD">
      <w:pPr>
        <w:pStyle w:val="ab"/>
        <w:rPr>
          <w:lang w:val="en-US"/>
        </w:rPr>
      </w:pPr>
      <w:r>
        <w:rPr>
          <w:rStyle w:val="ad"/>
        </w:rPr>
        <w:footnoteRef/>
      </w:r>
      <w:r w:rsidRPr="00183FCD">
        <w:rPr>
          <w:lang w:val="en-US"/>
        </w:rPr>
        <w:t>Researcher, School of Engineering, University of Basilicata, Potenza, Italy,</w:t>
      </w:r>
      <w:r w:rsidRPr="00183FCD">
        <w:rPr>
          <w:rStyle w:val="1"/>
          <w:lang w:val="en-US"/>
        </w:rPr>
        <w:t xml:space="preserve"> </w:t>
      </w:r>
      <w:hyperlink r:id="rId1" w:history="1">
        <w:r w:rsidRPr="00183FCD">
          <w:rPr>
            <w:rStyle w:val="1"/>
            <w:lang w:val="en-US"/>
          </w:rPr>
          <w:t>antonio.dicesare@unibas.it</w:t>
        </w:r>
      </w:hyperlink>
    </w:p>
  </w:footnote>
  <w:footnote w:id="2">
    <w:p w:rsidR="00183FCD" w:rsidRPr="00183FCD" w:rsidRDefault="00183FCD" w:rsidP="00183FCD">
      <w:pPr>
        <w:pStyle w:val="a9"/>
        <w:rPr>
          <w:lang w:val="en-US"/>
        </w:rPr>
      </w:pPr>
      <w:r w:rsidRPr="00F14B88">
        <w:rPr>
          <w:rStyle w:val="ad"/>
        </w:rPr>
        <w:footnoteRef/>
      </w:r>
      <w:r w:rsidRPr="00183FCD">
        <w:rPr>
          <w:lang w:val="en-US"/>
        </w:rPr>
        <w:t xml:space="preserve">Associate Professor, School of Engineering, University of Basilicata, Potenza, Italy, </w:t>
      </w:r>
      <w:hyperlink r:id="rId2" w:history="1">
        <w:r w:rsidRPr="00183FCD">
          <w:rPr>
            <w:rStyle w:val="1"/>
            <w:lang w:val="en-US"/>
          </w:rPr>
          <w:t>felice.ponzo@unibas.it</w:t>
        </w:r>
      </w:hyperlink>
      <w:r w:rsidRPr="00183FCD">
        <w:rPr>
          <w:lang w:val="en-US"/>
        </w:rPr>
        <w:t xml:space="preserve"> </w:t>
      </w:r>
    </w:p>
  </w:footnote>
  <w:footnote w:id="3">
    <w:p w:rsidR="00183FCD" w:rsidRPr="00183FCD" w:rsidRDefault="00183FCD" w:rsidP="00183FCD">
      <w:pPr>
        <w:pStyle w:val="ab"/>
        <w:rPr>
          <w:lang w:val="en-US"/>
        </w:rPr>
      </w:pPr>
      <w:r>
        <w:rPr>
          <w:rStyle w:val="ad"/>
        </w:rPr>
        <w:footnoteRef/>
      </w:r>
      <w:r w:rsidRPr="00183FCD">
        <w:rPr>
          <w:lang w:val="en-US"/>
        </w:rPr>
        <w:t xml:space="preserve">PhD Student, School of Engineering, University of Basilicata, Potenza, Italy, </w:t>
      </w:r>
      <w:hyperlink r:id="rId3" w:history="1">
        <w:r w:rsidRPr="00183FCD">
          <w:rPr>
            <w:rStyle w:val="1"/>
            <w:lang w:val="en-US"/>
          </w:rPr>
          <w:t>nicla.lamarucciola@unibas.it</w:t>
        </w:r>
      </w:hyperlink>
    </w:p>
  </w:footnote>
  <w:footnote w:id="4">
    <w:p w:rsidR="00183FCD" w:rsidRPr="00183FCD" w:rsidRDefault="00183FCD" w:rsidP="00183FCD">
      <w:pPr>
        <w:pStyle w:val="ab"/>
        <w:rPr>
          <w:lang w:val="en-US"/>
        </w:rPr>
      </w:pPr>
      <w:r>
        <w:rPr>
          <w:rStyle w:val="ad"/>
        </w:rPr>
        <w:footnoteRef/>
      </w:r>
      <w:r w:rsidRPr="00183FCD">
        <w:rPr>
          <w:lang w:val="en-US"/>
        </w:rPr>
        <w:t xml:space="preserve">Technician, School of Engineering University, of Basilicata, Potenza, Italy, </w:t>
      </w:r>
      <w:hyperlink r:id="rId4" w:history="1">
        <w:r w:rsidRPr="00183FCD">
          <w:rPr>
            <w:rStyle w:val="1"/>
            <w:lang w:val="en-US"/>
          </w:rPr>
          <w:t>domenico.nigro@unibas.it</w:t>
        </w:r>
      </w:hyperlink>
    </w:p>
    <w:p w:rsidR="00183FCD" w:rsidRPr="00183FCD" w:rsidRDefault="00183FCD" w:rsidP="00183FCD">
      <w:pPr>
        <w:pStyle w:val="ab"/>
        <w:rPr>
          <w:color w:val="0000FF" w:themeColor="hyperlink"/>
          <w:u w:val="single"/>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68E2F219" wp14:editId="656E8983">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FCD"/>
    <w:rsid w:val="000D7B9B"/>
    <w:rsid w:val="0013217D"/>
    <w:rsid w:val="00176434"/>
    <w:rsid w:val="00183FCD"/>
    <w:rsid w:val="00216721"/>
    <w:rsid w:val="00254B4D"/>
    <w:rsid w:val="006323CD"/>
    <w:rsid w:val="006B3BBD"/>
    <w:rsid w:val="0092552E"/>
    <w:rsid w:val="009267EB"/>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183FCD"/>
    <w:pPr>
      <w:spacing w:after="0" w:line="240" w:lineRule="auto"/>
    </w:pPr>
    <w:rPr>
      <w:sz w:val="20"/>
      <w:szCs w:val="20"/>
    </w:rPr>
  </w:style>
  <w:style w:type="character" w:customStyle="1" w:styleId="aa">
    <w:name w:val="Текст концевой сноски Знак"/>
    <w:basedOn w:val="a0"/>
    <w:link w:val="a9"/>
    <w:uiPriority w:val="99"/>
    <w:semiHidden/>
    <w:rsid w:val="00183FCD"/>
    <w:rPr>
      <w:sz w:val="20"/>
      <w:szCs w:val="20"/>
    </w:rPr>
  </w:style>
  <w:style w:type="paragraph" w:styleId="ab">
    <w:name w:val="footnote text"/>
    <w:basedOn w:val="a"/>
    <w:link w:val="ac"/>
    <w:uiPriority w:val="99"/>
    <w:semiHidden/>
    <w:unhideWhenUsed/>
    <w:rsid w:val="00183FCD"/>
    <w:pPr>
      <w:spacing w:after="0" w:line="240" w:lineRule="auto"/>
    </w:pPr>
    <w:rPr>
      <w:sz w:val="20"/>
      <w:szCs w:val="20"/>
    </w:rPr>
  </w:style>
  <w:style w:type="character" w:customStyle="1" w:styleId="ac">
    <w:name w:val="Текст сноски Знак"/>
    <w:basedOn w:val="a0"/>
    <w:link w:val="ab"/>
    <w:uiPriority w:val="99"/>
    <w:semiHidden/>
    <w:rsid w:val="00183FCD"/>
    <w:rPr>
      <w:sz w:val="20"/>
      <w:szCs w:val="20"/>
    </w:rPr>
  </w:style>
  <w:style w:type="character" w:styleId="ad">
    <w:name w:val="footnote reference"/>
    <w:basedOn w:val="a0"/>
    <w:semiHidden/>
    <w:rsid w:val="00183FCD"/>
    <w:rPr>
      <w:rFonts w:ascii="Times New Roman" w:hAnsi="Times New Roman"/>
      <w:sz w:val="22"/>
      <w:vertAlign w:val="superscript"/>
    </w:rPr>
  </w:style>
  <w:style w:type="character" w:customStyle="1" w:styleId="1">
    <w:name w:val="Гиперссылка1"/>
    <w:basedOn w:val="a0"/>
    <w:rsid w:val="00183FCD"/>
    <w:rPr>
      <w:rFonts w:ascii="Times New Roman" w:hAnsi="Times New Roman"/>
      <w:color w:val="0000FF"/>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183FCD"/>
    <w:pPr>
      <w:spacing w:after="0" w:line="240" w:lineRule="auto"/>
    </w:pPr>
    <w:rPr>
      <w:sz w:val="20"/>
      <w:szCs w:val="20"/>
    </w:rPr>
  </w:style>
  <w:style w:type="character" w:customStyle="1" w:styleId="aa">
    <w:name w:val="Текст концевой сноски Знак"/>
    <w:basedOn w:val="a0"/>
    <w:link w:val="a9"/>
    <w:uiPriority w:val="99"/>
    <w:semiHidden/>
    <w:rsid w:val="00183FCD"/>
    <w:rPr>
      <w:sz w:val="20"/>
      <w:szCs w:val="20"/>
    </w:rPr>
  </w:style>
  <w:style w:type="paragraph" w:styleId="ab">
    <w:name w:val="footnote text"/>
    <w:basedOn w:val="a"/>
    <w:link w:val="ac"/>
    <w:uiPriority w:val="99"/>
    <w:semiHidden/>
    <w:unhideWhenUsed/>
    <w:rsid w:val="00183FCD"/>
    <w:pPr>
      <w:spacing w:after="0" w:line="240" w:lineRule="auto"/>
    </w:pPr>
    <w:rPr>
      <w:sz w:val="20"/>
      <w:szCs w:val="20"/>
    </w:rPr>
  </w:style>
  <w:style w:type="character" w:customStyle="1" w:styleId="ac">
    <w:name w:val="Текст сноски Знак"/>
    <w:basedOn w:val="a0"/>
    <w:link w:val="ab"/>
    <w:uiPriority w:val="99"/>
    <w:semiHidden/>
    <w:rsid w:val="00183FCD"/>
    <w:rPr>
      <w:sz w:val="20"/>
      <w:szCs w:val="20"/>
    </w:rPr>
  </w:style>
  <w:style w:type="character" w:styleId="ad">
    <w:name w:val="footnote reference"/>
    <w:basedOn w:val="a0"/>
    <w:semiHidden/>
    <w:rsid w:val="00183FCD"/>
    <w:rPr>
      <w:rFonts w:ascii="Times New Roman" w:hAnsi="Times New Roman"/>
      <w:sz w:val="22"/>
      <w:vertAlign w:val="superscript"/>
    </w:rPr>
  </w:style>
  <w:style w:type="character" w:customStyle="1" w:styleId="1">
    <w:name w:val="Гиперссылка1"/>
    <w:basedOn w:val="a0"/>
    <w:rsid w:val="00183FCD"/>
    <w:rPr>
      <w:rFonts w:ascii="Times New Roman" w:hAnsi="Times New Roman"/>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wmf"/><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emf"/><Relationship Id="rId22" Type="http://schemas.openxmlformats.org/officeDocument/2006/relationships/hyperlink" Target="https://doi.org/10.1115/1.3153594"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nicla.lamarucciola@unibas.it" TargetMode="External"/><Relationship Id="rId2" Type="http://schemas.openxmlformats.org/officeDocument/2006/relationships/hyperlink" Target="mailto:felice.ponzo@unibas.it" TargetMode="External"/><Relationship Id="rId1" Type="http://schemas.openxmlformats.org/officeDocument/2006/relationships/hyperlink" Target="mailto:antonio.dicesare@unibas.it" TargetMode="External"/><Relationship Id="rId4" Type="http://schemas.openxmlformats.org/officeDocument/2006/relationships/hyperlink" Target="mailto:domenico.nigro@unibas.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8</Pages>
  <Words>2817</Words>
  <Characters>16060</Characters>
  <Application>Microsoft Office Word</Application>
  <DocSecurity>0</DocSecurity>
  <Lines>133</Lines>
  <Paragraphs>37</Paragraphs>
  <ScaleCrop>false</ScaleCrop>
  <Company>diakov.net</Company>
  <LinksUpToDate>false</LinksUpToDate>
  <CharactersWithSpaces>18840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2020-06-28T14:39:00Z</dcterms:created>
  <dcterms:modified xsi:type="dcterms:W3CDTF">2021-05-12T15:14:00Z</dcterms:modified>
</cp:coreProperties>
</file>