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BE5" w:rsidRPr="003F6BE5" w:rsidRDefault="003F6BE5" w:rsidP="003F6BE5">
      <w:pPr>
        <w:widowControl w:val="0"/>
        <w:spacing w:after="0" w:line="240" w:lineRule="auto"/>
        <w:jc w:val="center"/>
        <w:outlineLvl w:val="0"/>
        <w:rPr>
          <w:rFonts w:eastAsia="Times New Roman"/>
          <w:b/>
          <w:caps/>
          <w:snapToGrid w:val="0"/>
          <w:sz w:val="28"/>
          <w:szCs w:val="24"/>
          <w:lang w:val="en-US"/>
        </w:rPr>
      </w:pPr>
      <w:bookmarkStart w:id="0" w:name="_GoBack"/>
      <w:bookmarkEnd w:id="0"/>
    </w:p>
    <w:p w:rsidR="003F6BE5" w:rsidRPr="003F6BE5" w:rsidRDefault="003F6BE5" w:rsidP="003F6BE5">
      <w:pPr>
        <w:widowControl w:val="0"/>
        <w:spacing w:after="0" w:line="240" w:lineRule="auto"/>
        <w:jc w:val="center"/>
        <w:outlineLvl w:val="0"/>
        <w:rPr>
          <w:rFonts w:eastAsia="Times New Roman"/>
          <w:b/>
          <w:caps/>
          <w:snapToGrid w:val="0"/>
          <w:sz w:val="28"/>
          <w:szCs w:val="24"/>
          <w:lang w:val="en-US"/>
        </w:rPr>
      </w:pPr>
    </w:p>
    <w:p w:rsidR="003F6BE5" w:rsidRPr="003F6BE5" w:rsidRDefault="003F6BE5" w:rsidP="003F6BE5">
      <w:pPr>
        <w:widowControl w:val="0"/>
        <w:spacing w:after="0" w:line="240" w:lineRule="auto"/>
        <w:jc w:val="center"/>
        <w:outlineLvl w:val="0"/>
        <w:rPr>
          <w:rFonts w:eastAsia="Times New Roman"/>
          <w:b/>
          <w:caps/>
          <w:snapToGrid w:val="0"/>
          <w:sz w:val="28"/>
          <w:szCs w:val="24"/>
          <w:lang w:val="en-US" w:eastAsia="en-US"/>
        </w:rPr>
      </w:pPr>
      <w:r w:rsidRPr="003F6BE5">
        <w:rPr>
          <w:rFonts w:eastAsia="Times New Roman"/>
          <w:b/>
          <w:caps/>
          <w:snapToGrid w:val="0"/>
          <w:sz w:val="28"/>
          <w:szCs w:val="24"/>
          <w:lang w:val="en-US" w:eastAsia="en-US"/>
        </w:rPr>
        <w:t>aLIBEYKöY AND KAGITHANE VIADUCTS: ADVANCED SEISMIC PROTECTION SOLUTIONS IN HIGH SEISMICITY REGION</w:t>
      </w:r>
    </w:p>
    <w:p w:rsidR="003F6BE5" w:rsidRPr="003F6BE5" w:rsidRDefault="003F6BE5" w:rsidP="003F6BE5">
      <w:pPr>
        <w:widowControl w:val="0"/>
        <w:suppressAutoHyphens/>
        <w:spacing w:after="0" w:line="240" w:lineRule="auto"/>
        <w:jc w:val="both"/>
        <w:rPr>
          <w:rFonts w:eastAsia="Times New Roman"/>
          <w:snapToGrid w:val="0"/>
          <w:szCs w:val="24"/>
          <w:lang w:val="en-US" w:eastAsia="en-US"/>
        </w:rPr>
      </w:pPr>
    </w:p>
    <w:p w:rsidR="003F6BE5" w:rsidRPr="003F6BE5" w:rsidRDefault="003F6BE5" w:rsidP="003F6BE5">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3F6BE5">
        <w:rPr>
          <w:rFonts w:eastAsia="Times New Roman"/>
          <w:b/>
          <w:snapToGrid w:val="0"/>
          <w:color w:val="333333"/>
          <w:sz w:val="28"/>
          <w:szCs w:val="28"/>
          <w:shd w:val="clear" w:color="auto" w:fill="FFFFFF"/>
          <w:lang w:val="en-US" w:eastAsia="en-US"/>
        </w:rPr>
        <w:t xml:space="preserve">DOI </w:t>
      </w:r>
      <w:r w:rsidR="005B0371">
        <w:rPr>
          <w:rFonts w:eastAsia="Times New Roman"/>
          <w:b/>
          <w:snapToGrid w:val="0"/>
          <w:color w:val="333333"/>
          <w:sz w:val="28"/>
          <w:szCs w:val="28"/>
          <w:shd w:val="clear" w:color="auto" w:fill="FFFFFF"/>
          <w:lang w:val="en-US" w:eastAsia="en-US"/>
        </w:rPr>
        <w:t>10.37153</w:t>
      </w:r>
      <w:r w:rsidRPr="003F6BE5">
        <w:rPr>
          <w:rFonts w:eastAsia="Times New Roman"/>
          <w:b/>
          <w:snapToGrid w:val="0"/>
          <w:color w:val="333333"/>
          <w:sz w:val="28"/>
          <w:szCs w:val="28"/>
          <w:shd w:val="clear" w:color="auto" w:fill="FFFFFF"/>
          <w:lang w:val="en-US" w:eastAsia="en-US"/>
        </w:rPr>
        <w:t>/2686-7974-2019-16-660-671</w:t>
      </w:r>
    </w:p>
    <w:p w:rsidR="003F6BE5" w:rsidRPr="003F6BE5" w:rsidRDefault="003F6BE5" w:rsidP="003F6BE5">
      <w:pPr>
        <w:widowControl w:val="0"/>
        <w:suppressAutoHyphens/>
        <w:spacing w:after="0" w:line="240" w:lineRule="auto"/>
        <w:jc w:val="both"/>
        <w:rPr>
          <w:rFonts w:eastAsia="Times New Roman"/>
          <w:snapToGrid w:val="0"/>
          <w:szCs w:val="24"/>
          <w:lang w:val="en-US" w:eastAsia="en-US"/>
        </w:rPr>
      </w:pPr>
    </w:p>
    <w:p w:rsidR="003F6BE5" w:rsidRPr="003F6BE5" w:rsidRDefault="003F6BE5" w:rsidP="003F6BE5">
      <w:pPr>
        <w:widowControl w:val="0"/>
        <w:suppressAutoHyphens/>
        <w:spacing w:after="0" w:line="240" w:lineRule="auto"/>
        <w:jc w:val="both"/>
        <w:rPr>
          <w:rFonts w:eastAsia="Times New Roman"/>
          <w:snapToGrid w:val="0"/>
          <w:szCs w:val="24"/>
          <w:lang w:val="en-US" w:eastAsia="en-US"/>
        </w:rPr>
      </w:pPr>
    </w:p>
    <w:p w:rsidR="003F6BE5" w:rsidRPr="003F6BE5" w:rsidRDefault="003F6BE5" w:rsidP="003F6BE5">
      <w:pPr>
        <w:widowControl w:val="0"/>
        <w:suppressAutoHyphens/>
        <w:spacing w:after="0" w:line="240" w:lineRule="auto"/>
        <w:jc w:val="center"/>
        <w:rPr>
          <w:rFonts w:eastAsia="Times New Roman"/>
          <w:szCs w:val="24"/>
          <w:lang w:val="it-IT" w:eastAsia="en-US"/>
        </w:rPr>
      </w:pPr>
      <w:r w:rsidRPr="003F6BE5">
        <w:rPr>
          <w:rFonts w:eastAsia="Times New Roman"/>
          <w:szCs w:val="24"/>
          <w:lang w:val="it-IT" w:eastAsia="en-US"/>
        </w:rPr>
        <w:t>Mauro SARTORI</w:t>
      </w:r>
      <w:r w:rsidRPr="003F6BE5">
        <w:rPr>
          <w:rFonts w:eastAsia="Times New Roman"/>
          <w:szCs w:val="24"/>
          <w:vertAlign w:val="superscript"/>
          <w:lang w:val="en-US" w:eastAsia="en-US"/>
        </w:rPr>
        <w:footnoteReference w:id="1"/>
      </w:r>
      <w:r w:rsidRPr="003F6BE5">
        <w:rPr>
          <w:rFonts w:eastAsia="Times New Roman"/>
          <w:szCs w:val="24"/>
          <w:lang w:val="it-IT" w:eastAsia="en-US"/>
        </w:rPr>
        <w:t>, Stefano BARONE</w:t>
      </w:r>
      <w:r w:rsidRPr="003F6BE5">
        <w:rPr>
          <w:rFonts w:eastAsia="Times New Roman"/>
          <w:szCs w:val="24"/>
          <w:vertAlign w:val="superscript"/>
          <w:lang w:val="en-US" w:eastAsia="en-US"/>
        </w:rPr>
        <w:footnoteReference w:id="2"/>
      </w:r>
      <w:r w:rsidRPr="003F6BE5">
        <w:rPr>
          <w:rFonts w:eastAsia="Times New Roman"/>
          <w:szCs w:val="24"/>
          <w:lang w:val="it-IT" w:eastAsia="en-US"/>
        </w:rPr>
        <w:t>, Claudio GALBIATI</w:t>
      </w:r>
      <w:r w:rsidRPr="003F6BE5">
        <w:rPr>
          <w:rFonts w:eastAsia="Times New Roman"/>
          <w:szCs w:val="24"/>
          <w:vertAlign w:val="superscript"/>
          <w:lang w:val="en-US" w:eastAsia="en-US"/>
        </w:rPr>
        <w:footnoteReference w:id="3"/>
      </w:r>
      <w:r w:rsidRPr="003F6BE5">
        <w:rPr>
          <w:rFonts w:eastAsia="Times New Roman"/>
          <w:szCs w:val="24"/>
          <w:lang w:val="it-IT" w:eastAsia="en-US"/>
        </w:rPr>
        <w:t>,</w:t>
      </w:r>
      <w:r w:rsidRPr="003F6BE5">
        <w:rPr>
          <w:rFonts w:eastAsia="Times New Roman"/>
          <w:szCs w:val="24"/>
          <w:lang w:val="en-US" w:eastAsia="en-US"/>
        </w:rPr>
        <w:br/>
      </w:r>
      <w:r w:rsidRPr="003F6BE5">
        <w:rPr>
          <w:rFonts w:eastAsia="Times New Roman"/>
          <w:szCs w:val="24"/>
          <w:lang w:val="it-IT" w:eastAsia="en-US"/>
        </w:rPr>
        <w:t>Burak TURKDONMEZ</w:t>
      </w:r>
      <w:r w:rsidRPr="003F6BE5">
        <w:rPr>
          <w:rFonts w:eastAsia="Times New Roman"/>
          <w:szCs w:val="24"/>
          <w:vertAlign w:val="superscript"/>
          <w:lang w:val="en-US" w:eastAsia="en-US"/>
        </w:rPr>
        <w:footnoteReference w:id="4"/>
      </w:r>
      <w:r w:rsidRPr="003F6BE5">
        <w:rPr>
          <w:rFonts w:eastAsia="Times New Roman"/>
          <w:szCs w:val="24"/>
          <w:lang w:val="it-IT" w:eastAsia="en-US"/>
        </w:rPr>
        <w:t>, Ivica ZIVANOVIC</w:t>
      </w:r>
      <w:r w:rsidRPr="003F6BE5">
        <w:rPr>
          <w:rFonts w:eastAsia="Times New Roman"/>
          <w:szCs w:val="24"/>
          <w:vertAlign w:val="superscript"/>
          <w:lang w:val="en-US" w:eastAsia="en-US"/>
        </w:rPr>
        <w:footnoteReference w:id="5"/>
      </w:r>
    </w:p>
    <w:p w:rsidR="003F6BE5" w:rsidRPr="003F6BE5" w:rsidRDefault="003F6BE5" w:rsidP="003F6BE5">
      <w:pPr>
        <w:widowControl w:val="0"/>
        <w:spacing w:after="0" w:line="240" w:lineRule="auto"/>
        <w:jc w:val="both"/>
        <w:rPr>
          <w:rFonts w:eastAsia="Times New Roman"/>
          <w:snapToGrid w:val="0"/>
          <w:szCs w:val="24"/>
          <w:lang w:val="it-IT" w:eastAsia="en-US"/>
        </w:rPr>
      </w:pPr>
    </w:p>
    <w:p w:rsidR="003F6BE5" w:rsidRPr="003F6BE5" w:rsidRDefault="003F6BE5" w:rsidP="003F6BE5">
      <w:pPr>
        <w:widowControl w:val="0"/>
        <w:tabs>
          <w:tab w:val="left" w:pos="-720"/>
        </w:tabs>
        <w:suppressAutoHyphens/>
        <w:spacing w:after="0" w:line="240" w:lineRule="auto"/>
        <w:jc w:val="both"/>
        <w:rPr>
          <w:rFonts w:eastAsia="Times New Roman"/>
          <w:snapToGrid w:val="0"/>
          <w:szCs w:val="24"/>
          <w:lang w:val="it-IT" w:eastAsia="en-US"/>
        </w:rPr>
      </w:pPr>
    </w:p>
    <w:p w:rsidR="003F6BE5" w:rsidRPr="003F6BE5" w:rsidRDefault="003F6BE5" w:rsidP="003F6BE5">
      <w:pPr>
        <w:widowControl w:val="0"/>
        <w:spacing w:after="0" w:line="240" w:lineRule="auto"/>
        <w:jc w:val="center"/>
        <w:outlineLvl w:val="0"/>
        <w:rPr>
          <w:rFonts w:eastAsia="Times New Roman"/>
          <w:b/>
          <w:caps/>
          <w:snapToGrid w:val="0"/>
          <w:kern w:val="28"/>
          <w:szCs w:val="24"/>
          <w:lang w:val="en-US" w:eastAsia="en-US"/>
        </w:rPr>
      </w:pPr>
      <w:r w:rsidRPr="003F6BE5">
        <w:rPr>
          <w:rFonts w:eastAsia="Times New Roman"/>
          <w:b/>
          <w:caps/>
          <w:snapToGrid w:val="0"/>
          <w:kern w:val="28"/>
          <w:szCs w:val="24"/>
          <w:lang w:val="en-US" w:eastAsia="en-US"/>
        </w:rPr>
        <w:t>ABSTRACT</w:t>
      </w:r>
    </w:p>
    <w:p w:rsidR="003F6BE5" w:rsidRPr="003F6BE5" w:rsidRDefault="003F6BE5" w:rsidP="003F6BE5">
      <w:pPr>
        <w:widowControl w:val="0"/>
        <w:suppressAutoHyphens/>
        <w:spacing w:after="0" w:line="240" w:lineRule="auto"/>
        <w:jc w:val="both"/>
        <w:rPr>
          <w:rFonts w:eastAsia="Times New Roman"/>
          <w:sz w:val="20"/>
          <w:szCs w:val="24"/>
          <w:lang w:val="en-US" w:eastAsia="en-US"/>
        </w:rPr>
      </w:pPr>
    </w:p>
    <w:p w:rsidR="003F6BE5" w:rsidRPr="003F6BE5" w:rsidRDefault="003F6BE5" w:rsidP="003F6BE5">
      <w:pPr>
        <w:widowControl w:val="0"/>
        <w:suppressAutoHyphens/>
        <w:spacing w:after="0" w:line="240" w:lineRule="auto"/>
        <w:jc w:val="both"/>
        <w:rPr>
          <w:rFonts w:eastAsia="Times New Roman"/>
          <w:sz w:val="20"/>
          <w:szCs w:val="24"/>
          <w:lang w:val="en-US" w:eastAsia="en-US"/>
        </w:rPr>
      </w:pPr>
      <w:r w:rsidRPr="003F6BE5">
        <w:rPr>
          <w:rFonts w:eastAsia="Times New Roman"/>
          <w:sz w:val="20"/>
          <w:szCs w:val="24"/>
          <w:lang w:val="en-US" w:eastAsia="en-US"/>
        </w:rPr>
        <w:t>High-seismicity regions require advanced earthquake protection systems. Turkey is one of the most seismically active regions in the world; its capital city, Istanbul, has an ever-increasing demand of public transportation between different parts of the city. The Alibeyköy and Kagithane viaducts are integral part of the new Istanbul metro line and represent an extraordinary worldwide example of base isolation and energy dissipation through the combination of different types of anti-seismic devices.</w:t>
      </w:r>
    </w:p>
    <w:p w:rsidR="003F6BE5" w:rsidRPr="003F6BE5" w:rsidRDefault="003F6BE5" w:rsidP="003F6BE5">
      <w:pPr>
        <w:widowControl w:val="0"/>
        <w:suppressAutoHyphens/>
        <w:spacing w:after="0" w:line="240" w:lineRule="auto"/>
        <w:jc w:val="both"/>
        <w:rPr>
          <w:rFonts w:eastAsia="Times New Roman"/>
          <w:sz w:val="20"/>
          <w:szCs w:val="24"/>
          <w:lang w:val="en-US" w:eastAsia="en-US"/>
        </w:rPr>
      </w:pPr>
      <w:r w:rsidRPr="003F6BE5">
        <w:rPr>
          <w:rFonts w:eastAsia="Times New Roman"/>
          <w:sz w:val="20"/>
          <w:szCs w:val="24"/>
          <w:lang w:val="en-US" w:eastAsia="en-US"/>
        </w:rPr>
        <w:t>The seismic protection is obtained through spherical bearings able to support vertical loads up to 60.000 kN with maximum displacement capacity in longitudinal and transversal directions equal to ±350 mm. The bearings are equipped with CE marked anti-seismic devices with high hysteresis capacity and high strength sliding material with frictional properties to improve the overall dissipation capacity. The hysteretic dampers are made by “E” and “C” shaped steel elements. Some of these bearings are equipped with lock-up devices to allow service movements and to activate the hysteretic dampers during the seismic event. The paper describes in detail the need of multi-functional solution covering the full range of products available for seismic protection and all the tests performed to qualify the behavior of the devices.</w:t>
      </w:r>
    </w:p>
    <w:p w:rsidR="003F6BE5" w:rsidRPr="003F6BE5" w:rsidRDefault="003F6BE5" w:rsidP="003F6BE5">
      <w:pPr>
        <w:widowControl w:val="0"/>
        <w:suppressAutoHyphens/>
        <w:spacing w:after="0" w:line="240" w:lineRule="auto"/>
        <w:jc w:val="both"/>
        <w:rPr>
          <w:rFonts w:eastAsia="Times New Roman"/>
          <w:sz w:val="20"/>
          <w:szCs w:val="24"/>
          <w:lang w:val="en-US" w:eastAsia="en-US"/>
        </w:rPr>
      </w:pPr>
    </w:p>
    <w:p w:rsidR="003F6BE5" w:rsidRPr="003F6BE5" w:rsidRDefault="003F6BE5" w:rsidP="003F6BE5">
      <w:pPr>
        <w:widowControl w:val="0"/>
        <w:suppressAutoHyphens/>
        <w:spacing w:after="0" w:line="240" w:lineRule="auto"/>
        <w:jc w:val="both"/>
        <w:rPr>
          <w:rFonts w:eastAsia="Times New Roman"/>
          <w:i/>
          <w:sz w:val="20"/>
          <w:szCs w:val="24"/>
          <w:lang w:val="en-US" w:eastAsia="en-US"/>
        </w:rPr>
      </w:pPr>
      <w:r w:rsidRPr="003F6BE5">
        <w:rPr>
          <w:rFonts w:eastAsia="Times New Roman"/>
          <w:i/>
          <w:sz w:val="20"/>
          <w:szCs w:val="24"/>
          <w:lang w:val="en-US" w:eastAsia="en-US"/>
        </w:rPr>
        <w:t>Keywords: Base Isolation; Energy Dissipation; Viaducts; Anti-seismic Devices</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keepNext/>
        <w:widowControl w:val="0"/>
        <w:suppressAutoHyphens/>
        <w:spacing w:after="0" w:line="240" w:lineRule="auto"/>
        <w:jc w:val="both"/>
        <w:outlineLvl w:val="0"/>
        <w:rPr>
          <w:rFonts w:eastAsia="MS Mincho"/>
          <w:b/>
          <w:caps/>
          <w:snapToGrid w:val="0"/>
          <w:szCs w:val="24"/>
          <w:lang w:val="en-US" w:eastAsia="ja-JP" w:bidi="en-US"/>
        </w:rPr>
      </w:pPr>
      <w:r w:rsidRPr="003F6BE5">
        <w:rPr>
          <w:rFonts w:eastAsia="MS Mincho"/>
          <w:b/>
          <w:caps/>
          <w:snapToGrid w:val="0"/>
          <w:szCs w:val="24"/>
          <w:lang w:val="en-US" w:eastAsia="ja-JP" w:bidi="en-US"/>
        </w:rPr>
        <w:t xml:space="preserve">1. INTRODUCTION </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Turkey is one of the highest seismic regions in the world, being in the middle of the Anatolian fault. This strike-slip fault is about 1500 km long and crosses the country from east to west. Lots of destructive earthquakes up to Moment Magnitude M</w:t>
      </w:r>
      <w:r w:rsidRPr="003F6BE5">
        <w:rPr>
          <w:rFonts w:eastAsia="Times New Roman"/>
          <w:snapToGrid w:val="0"/>
          <w:szCs w:val="24"/>
          <w:vertAlign w:val="subscript"/>
          <w:lang w:val="en-US" w:eastAsia="en-US"/>
        </w:rPr>
        <w:t>w</w:t>
      </w:r>
      <w:r w:rsidRPr="003F6BE5">
        <w:rPr>
          <w:rFonts w:eastAsia="Times New Roman"/>
          <w:snapToGrid w:val="0"/>
          <w:szCs w:val="24"/>
          <w:lang w:val="en-US" w:eastAsia="en-US"/>
        </w:rPr>
        <w:t xml:space="preserve"> = 7.5 occurred in the last years on the fault-line like the ones occurred in Izmit (1999, M</w:t>
      </w:r>
      <w:r w:rsidRPr="003F6BE5">
        <w:rPr>
          <w:rFonts w:eastAsia="Times New Roman"/>
          <w:snapToGrid w:val="0"/>
          <w:szCs w:val="24"/>
          <w:vertAlign w:val="subscript"/>
          <w:lang w:val="en-US" w:eastAsia="en-US"/>
        </w:rPr>
        <w:t>w</w:t>
      </w:r>
      <w:r w:rsidRPr="003F6BE5">
        <w:rPr>
          <w:rFonts w:eastAsia="Times New Roman"/>
          <w:snapToGrid w:val="0"/>
          <w:szCs w:val="24"/>
          <w:lang w:val="en-US" w:eastAsia="en-US"/>
        </w:rPr>
        <w:t xml:space="preserve"> = 7.4) and Duzce (1999, M</w:t>
      </w:r>
      <w:r w:rsidRPr="003F6BE5">
        <w:rPr>
          <w:rFonts w:eastAsia="Times New Roman"/>
          <w:snapToGrid w:val="0"/>
          <w:szCs w:val="24"/>
          <w:vertAlign w:val="subscript"/>
          <w:lang w:val="en-US" w:eastAsia="en-US"/>
        </w:rPr>
        <w:t>w</w:t>
      </w:r>
      <w:r w:rsidRPr="003F6BE5">
        <w:rPr>
          <w:rFonts w:eastAsia="Times New Roman"/>
          <w:snapToGrid w:val="0"/>
          <w:szCs w:val="24"/>
          <w:lang w:val="en-US" w:eastAsia="en-US"/>
        </w:rPr>
        <w:t xml:space="preserve"> = 7.2). Istanbul, due to the ever-increasing demand for transport, requires a continuous improvement of its mobility system. In this context, the Alibeyköy and Kagithane viaducts, part of the new Istanbul metro line between Mecidiyeköy and Mahmutbey cities, are 18 km long and are protected against earthquakes through base isolation. Figure 1 shows the location of the viaducts.</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408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lastRenderedPageBreak/>
              <w:drawing>
                <wp:inline distT="0" distB="0" distL="0" distR="0" wp14:anchorId="1A0C34A4" wp14:editId="614C444E">
                  <wp:extent cx="2457450" cy="1536962"/>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7400" cy="1543185"/>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both"/>
        <w:rPr>
          <w:rFonts w:eastAsia="Times New Roman"/>
          <w:snapToGrid w:val="0"/>
          <w:szCs w:val="24"/>
          <w:lang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1. Geographic location of the viaducts</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3F6BE5">
        <w:rPr>
          <w:rFonts w:eastAsia="Times New Roman"/>
          <w:b/>
          <w:caps/>
          <w:snapToGrid w:val="0"/>
          <w:szCs w:val="24"/>
          <w:lang w:val="en-US" w:eastAsia="en-US"/>
        </w:rPr>
        <w:t>2. CHARACTERISTICS OF THE VIADUCTS AND SITE SEISMICITY</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The viaducts, located close to the Alibeyköy and Kagithane stations, are very similar and composed by two post-tensioned box girder decks with three continuous spans at the center and two continuous spans from 50 to 73 m close to the abutments. The piers are short (about 6 m) and this makes the viaducts very sensible to the seismic excitation since their high stiffness allow the direct transfer of the ground acceleration to the deck, which mass is approximatively 23800 tones. Figure 2 and 3 show the frontal view of these infrastructures.</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909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45E53E2D" wp14:editId="068F1606">
                  <wp:extent cx="5638800" cy="9793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6085" cy="98057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2. Alibeyköy viaduct section</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903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3A4C9735" wp14:editId="27519A7B">
                  <wp:extent cx="5600700" cy="866775"/>
                  <wp:effectExtent l="0" t="0" r="0" b="952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866775"/>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3. Kagithane viaduct section</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 xml:space="preserve">The soil is characterized by a 30 m deep soft clay layer, set on a rock unit, as shown in the stratigraphy of Figure 4. </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444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00A02C71" wp14:editId="1BD590AB">
                  <wp:extent cx="2686050" cy="1804856"/>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183" cy="1812337"/>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Default="003F6BE5" w:rsidP="003F6BE5">
      <w:pPr>
        <w:widowControl w:val="0"/>
        <w:spacing w:after="0" w:line="240" w:lineRule="auto"/>
        <w:jc w:val="center"/>
        <w:rPr>
          <w:rFonts w:eastAsia="Times New Roman"/>
          <w:snapToGrid w:val="0"/>
          <w:sz w:val="20"/>
          <w:szCs w:val="24"/>
          <w:lang w:eastAsia="en-US"/>
        </w:rPr>
      </w:pPr>
      <w:r w:rsidRPr="003F6BE5">
        <w:rPr>
          <w:rFonts w:eastAsia="Times New Roman"/>
          <w:snapToGrid w:val="0"/>
          <w:sz w:val="20"/>
          <w:szCs w:val="24"/>
          <w:lang w:val="en-US" w:eastAsia="en-US"/>
        </w:rPr>
        <w:lastRenderedPageBreak/>
        <w:t>Figure 4. Stratigraphy of the soil crossed by the Alibeyköy viaduct</w:t>
      </w:r>
    </w:p>
    <w:p w:rsidR="003F6BE5" w:rsidRPr="003F6BE5" w:rsidRDefault="003F6BE5" w:rsidP="003F6BE5">
      <w:pPr>
        <w:widowControl w:val="0"/>
        <w:spacing w:after="0" w:line="240" w:lineRule="auto"/>
        <w:jc w:val="center"/>
        <w:rPr>
          <w:rFonts w:eastAsia="Times New Roman"/>
          <w:snapToGrid w:val="0"/>
          <w:sz w:val="20"/>
          <w:szCs w:val="24"/>
          <w:lang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Soil characterization is fundamental to define the seismic input of the viaducts. The Peak Ground Acceleration (PGA) for a return period of 2475 years is 0.53g (g is the gravity acceleration, equals to 9.81 m/s</w:t>
      </w:r>
      <w:r w:rsidRPr="003F6BE5">
        <w:rPr>
          <w:rFonts w:eastAsia="Times New Roman"/>
          <w:snapToGrid w:val="0"/>
          <w:szCs w:val="24"/>
          <w:vertAlign w:val="superscript"/>
          <w:lang w:val="en-US" w:eastAsia="en-US"/>
        </w:rPr>
        <w:t>2</w:t>
      </w:r>
      <w:r w:rsidRPr="003F6BE5">
        <w:rPr>
          <w:rFonts w:eastAsia="Times New Roman"/>
          <w:snapToGrid w:val="0"/>
          <w:szCs w:val="24"/>
          <w:lang w:val="en-US" w:eastAsia="en-US"/>
        </w:rPr>
        <w:t>) and the relative design response spectrum has a maximum acceleration of 1.1g. Figure 5 shows the design acceleration response spectra for different return periods, according to the Turkish standard.</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573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6B1BAAA4" wp14:editId="1F6E359A">
                  <wp:extent cx="3498850" cy="19875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8850" cy="198755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5. Design acceleration response spectra for different return periods</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3F6BE5">
        <w:rPr>
          <w:rFonts w:eastAsia="Times New Roman"/>
          <w:b/>
          <w:caps/>
          <w:snapToGrid w:val="0"/>
          <w:szCs w:val="24"/>
          <w:lang w:val="en-US" w:eastAsia="en-US"/>
        </w:rPr>
        <w:t>3. DESCRITPION OF THE SEISMIC PROTECTION SYSTEM</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The high seismic demand together with limited acceptable displacements of the railway lines to limit damages brought to study a non-conventional solution to solve in a brilliant and efficient way the seismic protection of the viaducts. The study lead to a complex multi-functional solution where an isolation system with high stiffness and damping capacity was applied to reduce the seismic acceleration without increasing too much the natural period of the isolated structure. The solution thought by Yuksel Project consists in a system composed by different devices developed by the engineering team of Freyssinet, capable to provide an adequate restoring stiffness to re-center the viaducts after earthquakes. Figure 6 and 7 illustrates details of the isolation system while Table 1 lists all the devices used for the viaducts.</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735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620B12E9" wp14:editId="5DE156CD">
                  <wp:extent cx="4527550" cy="16573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7550" cy="165735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6. Isolation components of the piers</w:t>
      </w:r>
    </w:p>
    <w:p w:rsidR="003F6BE5" w:rsidRPr="003F6BE5" w:rsidRDefault="003F6BE5" w:rsidP="003F6BE5">
      <w:pPr>
        <w:spacing w:after="0" w:line="240" w:lineRule="auto"/>
        <w:ind w:left="11" w:hanging="11"/>
        <w:jc w:val="both"/>
        <w:rPr>
          <w:rFonts w:eastAsia="Times New Roman"/>
          <w:snapToGrid w:val="0"/>
          <w:sz w:val="20"/>
          <w:szCs w:val="24"/>
          <w:lang w:val="en-US" w:eastAsia="en-US"/>
        </w:rPr>
      </w:pPr>
      <w:r w:rsidRPr="003F6BE5">
        <w:rPr>
          <w:rFonts w:eastAsia="Times New Roman"/>
          <w:snapToGrid w:val="0"/>
          <w:szCs w:val="24"/>
          <w:lang w:val="en-US" w:eastAsia="en-US"/>
        </w:rPr>
        <w:br w:type="page"/>
      </w:r>
    </w:p>
    <w:p w:rsidR="003F6BE5" w:rsidRPr="003F6BE5" w:rsidRDefault="003F6BE5" w:rsidP="003F6BE5">
      <w:pPr>
        <w:widowControl w:val="0"/>
        <w:spacing w:after="0" w:line="240" w:lineRule="auto"/>
        <w:jc w:val="center"/>
        <w:rPr>
          <w:rFonts w:eastAsia="Times New Roman"/>
          <w:snapToGrid w:val="0"/>
          <w:sz w:val="2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3246"/>
        <w:gridCol w:w="4146"/>
      </w:tblGrid>
      <w:tr w:rsidR="003F6BE5" w:rsidRPr="003F6BE5" w:rsidTr="00B97EDB">
        <w:trPr>
          <w:jc w:val="center"/>
        </w:trPr>
        <w:tc>
          <w:tcPr>
            <w:tcW w:w="0" w:type="auto"/>
            <w:vMerge w:val="restart"/>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28CBCE5E" wp14:editId="2DB8A219">
                  <wp:extent cx="1924050" cy="28067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050" cy="2806700"/>
                          </a:xfrm>
                          <a:prstGeom prst="rect">
                            <a:avLst/>
                          </a:prstGeom>
                          <a:noFill/>
                          <a:ln>
                            <a:noFill/>
                          </a:ln>
                        </pic:spPr>
                      </pic:pic>
                    </a:graphicData>
                  </a:graphic>
                </wp:inline>
              </w:drawing>
            </w:r>
          </w:p>
        </w:tc>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1F2F6A88" wp14:editId="7916A7E3">
                  <wp:extent cx="2495550" cy="140970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550" cy="1409700"/>
                          </a:xfrm>
                          <a:prstGeom prst="rect">
                            <a:avLst/>
                          </a:prstGeom>
                          <a:noFill/>
                          <a:ln>
                            <a:noFill/>
                          </a:ln>
                        </pic:spPr>
                      </pic:pic>
                    </a:graphicData>
                  </a:graphic>
                </wp:inline>
              </w:drawing>
            </w:r>
          </w:p>
        </w:tc>
      </w:tr>
      <w:tr w:rsidR="003F6BE5" w:rsidRPr="003F6BE5" w:rsidTr="00B97EDB">
        <w:trPr>
          <w:jc w:val="center"/>
        </w:trPr>
        <w:tc>
          <w:tcPr>
            <w:tcW w:w="0" w:type="auto"/>
            <w:vMerge/>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7533B06A" wp14:editId="5B03C393">
                  <wp:extent cx="2495550" cy="1409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40970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7. Views of Alibeyköy viaduct under construction</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Table 1. List of devices involved in the project.</w:t>
      </w:r>
    </w:p>
    <w:p w:rsidR="003F6BE5" w:rsidRPr="003F6BE5" w:rsidRDefault="003F6BE5" w:rsidP="003F6BE5">
      <w:pPr>
        <w:widowControl w:val="0"/>
        <w:spacing w:after="0" w:line="240" w:lineRule="auto"/>
        <w:jc w:val="center"/>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514"/>
        <w:gridCol w:w="2814"/>
        <w:gridCol w:w="1060"/>
      </w:tblGrid>
      <w:tr w:rsidR="003F6BE5" w:rsidRPr="003F6BE5" w:rsidTr="00B97EDB">
        <w:trPr>
          <w:jc w:val="center"/>
        </w:trPr>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b/>
                <w:snapToGrid w:val="0"/>
                <w:szCs w:val="24"/>
                <w:lang w:val="en-US" w:eastAsia="en-US"/>
              </w:rPr>
            </w:pPr>
            <w:r w:rsidRPr="003F6BE5">
              <w:rPr>
                <w:rFonts w:eastAsia="Times New Roman"/>
                <w:b/>
                <w:snapToGrid w:val="0"/>
                <w:szCs w:val="24"/>
                <w:lang w:val="en-US" w:eastAsia="en-US"/>
              </w:rPr>
              <w:t>Viaduct</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b/>
                <w:snapToGrid w:val="0"/>
                <w:szCs w:val="24"/>
                <w:lang w:val="en-US" w:eastAsia="en-US"/>
              </w:rPr>
            </w:pPr>
            <w:r w:rsidRPr="003F6BE5">
              <w:rPr>
                <w:rFonts w:eastAsia="Times New Roman"/>
                <w:b/>
                <w:snapToGrid w:val="0"/>
                <w:szCs w:val="24"/>
                <w:lang w:val="en-US" w:eastAsia="en-US"/>
              </w:rPr>
              <w:t>Piers</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b/>
                <w:snapToGrid w:val="0"/>
                <w:szCs w:val="24"/>
                <w:lang w:val="en-US" w:eastAsia="en-US"/>
              </w:rPr>
            </w:pPr>
            <w:r w:rsidRPr="003F6BE5">
              <w:rPr>
                <w:rFonts w:eastAsia="Times New Roman"/>
                <w:b/>
                <w:snapToGrid w:val="0"/>
                <w:szCs w:val="24"/>
                <w:lang w:val="en-US" w:eastAsia="en-US"/>
              </w:rPr>
              <w:t>Type of device</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b/>
                <w:snapToGrid w:val="0"/>
                <w:szCs w:val="24"/>
                <w:lang w:val="en-US" w:eastAsia="en-US"/>
              </w:rPr>
            </w:pPr>
            <w:r w:rsidRPr="003F6BE5">
              <w:rPr>
                <w:rFonts w:eastAsia="Times New Roman"/>
                <w:b/>
                <w:snapToGrid w:val="0"/>
                <w:szCs w:val="24"/>
                <w:lang w:val="en-US" w:eastAsia="en-US"/>
              </w:rPr>
              <w:t>Quantity</w:t>
            </w:r>
          </w:p>
        </w:tc>
      </w:tr>
      <w:tr w:rsidR="003F6BE5" w:rsidRPr="003F6BE5" w:rsidTr="00B97EDB">
        <w:trPr>
          <w:jc w:val="center"/>
        </w:trPr>
        <w:tc>
          <w:tcPr>
            <w:tcW w:w="0" w:type="auto"/>
            <w:vMerge w:val="restart"/>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Alibeyköy</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 – 3 – 6 - 8</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CSM-D 12900-1400/350/350</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HDRB 0.8-10 700x209</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12</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12</w:t>
            </w:r>
          </w:p>
        </w:tc>
      </w:tr>
      <w:tr w:rsidR="003F6BE5" w:rsidRPr="003F6BE5" w:rsidTr="00B97EDB">
        <w:trPr>
          <w:jc w:val="center"/>
        </w:trPr>
        <w:tc>
          <w:tcPr>
            <w:tcW w:w="0" w:type="auto"/>
            <w:vMerge/>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2 - 7</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CSM-D 35250-4075/350/350</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HDRB 0.8-10 700x171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8</w:t>
            </w:r>
          </w:p>
        </w:tc>
      </w:tr>
      <w:tr w:rsidR="003F6BE5" w:rsidRPr="003F6BE5" w:rsidTr="00B97EDB">
        <w:trPr>
          <w:jc w:val="center"/>
        </w:trPr>
        <w:tc>
          <w:tcPr>
            <w:tcW w:w="0" w:type="auto"/>
            <w:vMerge/>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4 - 5</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CSM-D 48750-5540/350/350</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HDRB 0.8-10 700x171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8</w:t>
            </w:r>
          </w:p>
        </w:tc>
      </w:tr>
      <w:tr w:rsidR="003F6BE5" w:rsidRPr="003F6BE5" w:rsidTr="00B97EDB">
        <w:trPr>
          <w:jc w:val="center"/>
        </w:trPr>
        <w:tc>
          <w:tcPr>
            <w:tcW w:w="0" w:type="auto"/>
            <w:vMerge w:val="restart"/>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Kagithane</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 – 3G – 6I – 8G – 8I - 10</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CSM-D 12900-1400/350/350</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HDRB 0.8-10 700x209</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12</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12</w:t>
            </w:r>
          </w:p>
        </w:tc>
      </w:tr>
      <w:tr w:rsidR="003F6BE5" w:rsidRPr="003F6BE5" w:rsidTr="00B97EDB">
        <w:trPr>
          <w:jc w:val="center"/>
        </w:trPr>
        <w:tc>
          <w:tcPr>
            <w:tcW w:w="0" w:type="auto"/>
            <w:vMerge/>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 – 7 – 9</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CSM-D 35250-4075/350/350</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HDRB 0.8-10 700x171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6</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12</w:t>
            </w:r>
          </w:p>
        </w:tc>
      </w:tr>
      <w:tr w:rsidR="003F6BE5" w:rsidRPr="003F6BE5" w:rsidTr="00B97EDB">
        <w:trPr>
          <w:jc w:val="center"/>
        </w:trPr>
        <w:tc>
          <w:tcPr>
            <w:tcW w:w="0" w:type="auto"/>
            <w:vMerge/>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xml:space="preserve">4 – 5 </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CSM-D 60000-6440/350/350</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HDRB 0.8-10 700x171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8</w:t>
            </w:r>
          </w:p>
        </w:tc>
      </w:tr>
      <w:tr w:rsidR="003F6BE5" w:rsidRPr="003F6BE5" w:rsidTr="00B97EDB">
        <w:trPr>
          <w:jc w:val="center"/>
        </w:trPr>
        <w:tc>
          <w:tcPr>
            <w:tcW w:w="0" w:type="auto"/>
            <w:vMerge/>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xml:space="preserve">3I – 3G </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CSM-D 13975-2050/350/350</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HDRB 0.8-10 700x171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w:t>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6</w:t>
            </w:r>
          </w:p>
        </w:tc>
      </w:tr>
    </w:tbl>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The named DDD-bearings of Figure 8 are composed by a spherical bearing (two for each alignment) with a vertical capacity from 12900 kN up to 60000 kN and are equipped with a special sliding material called ISOSLIDE, able to provide high compressive strength capacity (up to 180 MPa) and low friction when lubricated (less than 1% of the applied vertical load). The low frictional properties allow to limit as much as possible the restoring moments in the spherical bearings when rotations due to live loads are applied. Each spherical bearing is equipped with two sliding plates, one for each horizontal direction, both on the top and on the bottom of it, allowing seismic displacements. These surfaces are made of a special sliding material, named ISOSLIDE+, capable to develop high dynamic friction and hence damping capacity. Indeed, these sliders play a primary role in the global energy dissipation mechanism, since they provide a dynamic friction coefficient of 5%, which represents about 46% of total energy dissipated by the DDD-Bearing.</w:t>
      </w:r>
    </w:p>
    <w:p w:rsidR="003F6BE5" w:rsidRPr="003F6BE5" w:rsidRDefault="003F6BE5" w:rsidP="003F6BE5">
      <w:pPr>
        <w:spacing w:after="0" w:line="240" w:lineRule="auto"/>
        <w:ind w:left="11" w:hanging="11"/>
        <w:jc w:val="both"/>
        <w:rPr>
          <w:rFonts w:eastAsia="Times New Roman"/>
          <w:snapToGrid w:val="0"/>
          <w:szCs w:val="24"/>
          <w:lang w:val="en-US" w:eastAsia="en-US"/>
        </w:rPr>
      </w:pPr>
      <w:r w:rsidRPr="003F6BE5">
        <w:rPr>
          <w:rFonts w:eastAsia="Times New Roman"/>
          <w:snapToGrid w:val="0"/>
          <w:szCs w:val="24"/>
          <w:lang w:val="en-US" w:eastAsia="en-US"/>
        </w:rPr>
        <w:br w:type="page"/>
      </w:r>
    </w:p>
    <w:tbl>
      <w:tblPr>
        <w:tblW w:w="0" w:type="auto"/>
        <w:jc w:val="center"/>
        <w:tblLook w:val="04A0" w:firstRow="1" w:lastRow="0" w:firstColumn="1" w:lastColumn="0" w:noHBand="0" w:noVBand="1"/>
      </w:tblPr>
      <w:tblGrid>
        <w:gridCol w:w="4446"/>
        <w:gridCol w:w="444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lastRenderedPageBreak/>
              <w:drawing>
                <wp:inline distT="0" distB="0" distL="0" distR="0" wp14:anchorId="3A72BBFD" wp14:editId="5EA2ADBA">
                  <wp:extent cx="2686050" cy="1790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21EFAA17" wp14:editId="025CEEF4">
                  <wp:extent cx="2686050" cy="1790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696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anchor distT="0" distB="0" distL="114300" distR="114300" simplePos="0" relativeHeight="251659264" behindDoc="0" locked="0" layoutInCell="1" allowOverlap="1" wp14:anchorId="4247BBC4" wp14:editId="54FB1FBA">
                  <wp:simplePos x="0" y="0"/>
                  <wp:positionH relativeFrom="column">
                    <wp:posOffset>619125</wp:posOffset>
                  </wp:positionH>
                  <wp:positionV relativeFrom="paragraph">
                    <wp:posOffset>1348740</wp:posOffset>
                  </wp:positionV>
                  <wp:extent cx="615950" cy="704850"/>
                  <wp:effectExtent l="0" t="0" r="0" b="0"/>
                  <wp:wrapNone/>
                  <wp:docPr id="14" name="Рисунок 14" descr="isolation E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descr="isolation Eng-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950" cy="704850"/>
                          </a:xfrm>
                          <a:prstGeom prst="rect">
                            <a:avLst/>
                          </a:prstGeom>
                          <a:noFill/>
                          <a:ln>
                            <a:noFill/>
                          </a:ln>
                        </pic:spPr>
                      </pic:pic>
                    </a:graphicData>
                  </a:graphic>
                </wp:anchor>
              </w:drawing>
            </w:r>
            <w:r w:rsidRPr="003F6BE5">
              <w:rPr>
                <w:rFonts w:eastAsia="Times New Roman"/>
                <w:noProof/>
                <w:snapToGrid w:val="0"/>
                <w:szCs w:val="24"/>
              </w:rPr>
              <w:drawing>
                <wp:inline distT="0" distB="0" distL="0" distR="0" wp14:anchorId="40FD0507" wp14:editId="45B6AAF2">
                  <wp:extent cx="4286250" cy="2063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0" cy="206375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8. DDD bearings of the project</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The sliding plates movements are restrained by C-shaped or E-shaped steel elements, which, thanks to their special geometry and high material ductility, can provide high energy dissipation through yielding; the behavior is hence dependent on the displacement/deformation demand. The shape (C or E) of these elements is optimized so that plasticization is almost uniformly distributed over the volume. By preventing localization and concentration of deformations, it is possible to extend the low-cycle fatigue life of such devices. Special arrangements neutralize the effects of geometry changes and improve the dissipative efficiency without suffering from geometric effects which, in case of large displacements, could cause hardening/softening and/or asymmetric hysteretic cycles. The Finite Element Model of Figure 9 demonstrates the uniform distribution of yielding stresses into the DDD elements when deformed. The numerical model has been used to define the shape of the elements and to confirm the plastic behavior.</w:t>
      </w: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noProof/>
          <w:snapToGrid w:val="0"/>
          <w:szCs w:val="24"/>
        </w:rPr>
        <w:drawing>
          <wp:anchor distT="0" distB="0" distL="114300" distR="114300" simplePos="0" relativeHeight="251660288" behindDoc="0" locked="0" layoutInCell="1" allowOverlap="1" wp14:anchorId="0BC8D1BF" wp14:editId="322338F8">
            <wp:simplePos x="0" y="0"/>
            <wp:positionH relativeFrom="column">
              <wp:posOffset>99060</wp:posOffset>
            </wp:positionH>
            <wp:positionV relativeFrom="paragraph">
              <wp:posOffset>208280</wp:posOffset>
            </wp:positionV>
            <wp:extent cx="2853055" cy="1962150"/>
            <wp:effectExtent l="0" t="0" r="444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3055" cy="1962150"/>
                    </a:xfrm>
                    <a:prstGeom prst="rect">
                      <a:avLst/>
                    </a:prstGeom>
                    <a:noFill/>
                    <a:ln>
                      <a:noFill/>
                    </a:ln>
                  </pic:spPr>
                </pic:pic>
              </a:graphicData>
            </a:graphic>
          </wp:anchor>
        </w:drawing>
      </w:r>
      <w:r w:rsidRPr="003F6BE5">
        <w:rPr>
          <w:rFonts w:eastAsia="Times New Roman"/>
          <w:noProof/>
          <w:snapToGrid w:val="0"/>
          <w:szCs w:val="24"/>
        </w:rPr>
        <w:drawing>
          <wp:anchor distT="0" distB="0" distL="114300" distR="114300" simplePos="0" relativeHeight="251661312" behindDoc="0" locked="0" layoutInCell="1" allowOverlap="1" wp14:anchorId="0C4D5EDC" wp14:editId="0F3CCC75">
            <wp:simplePos x="0" y="0"/>
            <wp:positionH relativeFrom="column">
              <wp:posOffset>3126105</wp:posOffset>
            </wp:positionH>
            <wp:positionV relativeFrom="paragraph">
              <wp:posOffset>217805</wp:posOffset>
            </wp:positionV>
            <wp:extent cx="2578100" cy="1981200"/>
            <wp:effectExtent l="0" t="0" r="0" b="0"/>
            <wp:wrapTopAndBottom/>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8100" cy="1981200"/>
                    </a:xfrm>
                    <a:prstGeom prst="rect">
                      <a:avLst/>
                    </a:prstGeom>
                    <a:noFill/>
                    <a:ln>
                      <a:noFill/>
                    </a:ln>
                  </pic:spPr>
                </pic:pic>
              </a:graphicData>
            </a:graphic>
          </wp:anchor>
        </w:drawing>
      </w:r>
    </w:p>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9. Finite element model of DDD elements: E-shaped (top) and C-shaped (bottom)</w:t>
      </w:r>
    </w:p>
    <w:p w:rsidR="003F6BE5" w:rsidRPr="003F6BE5" w:rsidRDefault="003F6BE5" w:rsidP="003F6BE5">
      <w:pPr>
        <w:spacing w:after="0" w:line="240" w:lineRule="auto"/>
        <w:ind w:left="11" w:hanging="11"/>
        <w:jc w:val="both"/>
        <w:rPr>
          <w:rFonts w:eastAsia="Times New Roman"/>
          <w:snapToGrid w:val="0"/>
          <w:sz w:val="20"/>
          <w:szCs w:val="24"/>
          <w:lang w:val="en-US" w:eastAsia="en-US"/>
        </w:rPr>
      </w:pPr>
      <w:r w:rsidRPr="003F6BE5">
        <w:rPr>
          <w:rFonts w:eastAsia="Times New Roman"/>
          <w:snapToGrid w:val="0"/>
          <w:sz w:val="20"/>
          <w:szCs w:val="24"/>
          <w:lang w:val="en-US" w:eastAsia="en-US"/>
        </w:rPr>
        <w:br w:type="page"/>
      </w:r>
    </w:p>
    <w:p w:rsidR="003F6BE5" w:rsidRPr="003F6BE5" w:rsidRDefault="003F6BE5" w:rsidP="003F6BE5">
      <w:pPr>
        <w:widowControl w:val="0"/>
        <w:spacing w:after="0" w:line="240" w:lineRule="auto"/>
        <w:jc w:val="center"/>
        <w:rPr>
          <w:rFonts w:eastAsia="Times New Roman"/>
          <w:snapToGrid w:val="0"/>
          <w:sz w:val="2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The overall non-linear force-displacement behavior of DDD elements can be idealized by a bilinear law. The first branch represents the elastic response prior to steel yielding, while the second one is the post-yielding behavior (see Figure 10).</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516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2A7C5044" wp14:editId="7E1FF72C">
                  <wp:extent cx="3143250" cy="23749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0" cy="237490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10. Idealized bilinear law of DDD elements</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DDD-bearings installed on the abutments and on those piers where the deck is simply supported, are also equipped with Shock Transmission Units (STU). These devices allow to make the DDD-Bearing working differently during service and seismic conditions. STU is in fact a hydraulic device capable to allow slow movements in service condition (i.e. thermal displacements) and to lock fast movements like those induced by earthquakes or braking. The STU is installed in series between the sliding plate and the DDD elements, hence governing the DDD activation. Figure 11 illustrates the DDD-bearing configuration when the STU activates the DDD elements both in longitudinal and transversal direction (seismic condition), and when the DDD are not activated, allowing thermal movements of the bridge (service condition).</w:t>
      </w:r>
    </w:p>
    <w:p w:rsidR="003F6BE5" w:rsidRPr="003F6BE5" w:rsidRDefault="003F6BE5" w:rsidP="003F6BE5">
      <w:pPr>
        <w:spacing w:after="0" w:line="240" w:lineRule="auto"/>
        <w:ind w:left="11" w:hanging="11"/>
        <w:jc w:val="both"/>
        <w:rPr>
          <w:rFonts w:eastAsia="Times New Roman"/>
          <w:snapToGrid w:val="0"/>
          <w:szCs w:val="24"/>
          <w:lang w:val="en-US" w:eastAsia="en-US"/>
        </w:rPr>
      </w:pPr>
      <w:r w:rsidRPr="003F6BE5">
        <w:rPr>
          <w:rFonts w:eastAsia="Times New Roman"/>
          <w:snapToGrid w:val="0"/>
          <w:szCs w:val="24"/>
          <w:lang w:val="en-US" w:eastAsia="en-US"/>
        </w:rPr>
        <w:br w:type="page"/>
      </w:r>
    </w:p>
    <w:tbl>
      <w:tblPr>
        <w:tblW w:w="0" w:type="auto"/>
        <w:tblLook w:val="04A0" w:firstRow="1" w:lastRow="0" w:firstColumn="1" w:lastColumn="0" w:noHBand="0" w:noVBand="1"/>
      </w:tblPr>
      <w:tblGrid>
        <w:gridCol w:w="9638"/>
      </w:tblGrid>
      <w:tr w:rsidR="003F6BE5" w:rsidRPr="003F6BE5" w:rsidTr="00B97EDB">
        <w:tc>
          <w:tcPr>
            <w:tcW w:w="9638" w:type="dxa"/>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lastRenderedPageBreak/>
              <w:drawing>
                <wp:inline distT="0" distB="0" distL="0" distR="0" wp14:anchorId="2B5A5536" wp14:editId="4383C69E">
                  <wp:extent cx="4699000" cy="23622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9000" cy="2362200"/>
                          </a:xfrm>
                          <a:prstGeom prst="rect">
                            <a:avLst/>
                          </a:prstGeom>
                          <a:noFill/>
                          <a:ln>
                            <a:noFill/>
                          </a:ln>
                        </pic:spPr>
                      </pic:pic>
                    </a:graphicData>
                  </a:graphic>
                </wp:inline>
              </w:drawing>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3167789C" wp14:editId="698AD103">
                  <wp:extent cx="3244850" cy="236855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9"/>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4850" cy="236855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11. Longitudinal (top left) and transversal (top right) configuration in seismic condition and service configuration (bottom)</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All the DDD-bearings are equipped with end stoppers to limit the maximum movement to ± 350 mm in both directions; these stoppers have been added as additional safety elements to avoid the falling of the deck for exceptional earthquakes that could lead to higher displacement demand than the design one. Table 2 summarizes main characteristics of the biggest DDD-Bearing. The device is shown in Figure 12.</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bookmarkStart w:id="1" w:name="_Hlk536700718"/>
      <w:r w:rsidRPr="003F6BE5">
        <w:rPr>
          <w:rFonts w:eastAsia="Times New Roman"/>
          <w:snapToGrid w:val="0"/>
          <w:sz w:val="20"/>
          <w:szCs w:val="24"/>
          <w:lang w:val="en-US" w:eastAsia="en-US"/>
        </w:rPr>
        <w:t>Table 2. Characteristics of the biggest DDD-Bearing.</w:t>
      </w:r>
    </w:p>
    <w:bookmarkEnd w:id="1"/>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1316"/>
      </w:tblGrid>
      <w:tr w:rsidR="003F6BE5" w:rsidRPr="003F6BE5" w:rsidTr="00B97EDB">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center"/>
              <w:rPr>
                <w:rFonts w:eastAsia="Times New Roman"/>
                <w:b/>
                <w:snapToGrid w:val="0"/>
                <w:szCs w:val="24"/>
                <w:lang w:val="en-US" w:eastAsia="en-US"/>
              </w:rPr>
            </w:pPr>
            <w:r w:rsidRPr="003F6BE5">
              <w:rPr>
                <w:rFonts w:eastAsia="Times New Roman"/>
                <w:b/>
                <w:snapToGrid w:val="0"/>
                <w:szCs w:val="24"/>
                <w:lang w:val="en-US" w:eastAsia="en-US"/>
              </w:rPr>
              <w:t>CSM-D 60000-6440/350/350</w:t>
            </w:r>
          </w:p>
        </w:tc>
      </w:tr>
      <w:tr w:rsidR="003F6BE5" w:rsidRPr="003F6BE5" w:rsidTr="00B97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Vetical load at service limit state [kN]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40000</w:t>
            </w:r>
          </w:p>
        </w:tc>
      </w:tr>
      <w:tr w:rsidR="003F6BE5" w:rsidRPr="003F6BE5" w:rsidTr="00B97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Vertical load at ultimate limit state [kN]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60000</w:t>
            </w:r>
          </w:p>
        </w:tc>
      </w:tr>
      <w:tr w:rsidR="003F6BE5" w:rsidRPr="003F6BE5" w:rsidTr="00B97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Maximum horizontal load [kN]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6440</w:t>
            </w:r>
          </w:p>
        </w:tc>
      </w:tr>
      <w:tr w:rsidR="003F6BE5" w:rsidRPr="003F6BE5" w:rsidTr="00B97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Maximum rotations [rad]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0.01</w:t>
            </w:r>
          </w:p>
        </w:tc>
      </w:tr>
      <w:tr w:rsidR="003F6BE5" w:rsidRPr="003F6BE5" w:rsidTr="00B97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Longitudinal maximum displacement [mm]</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350</w:t>
            </w:r>
          </w:p>
        </w:tc>
      </w:tr>
      <w:tr w:rsidR="003F6BE5" w:rsidRPr="003F6BE5" w:rsidTr="00B97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Transveral maximum displacement [mm]</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350</w:t>
            </w:r>
          </w:p>
        </w:tc>
      </w:tr>
      <w:tr w:rsidR="003F6BE5" w:rsidRPr="003F6BE5" w:rsidTr="00B97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Plane dimensions [mm]</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3050 x 3050</w:t>
            </w:r>
          </w:p>
        </w:tc>
      </w:tr>
      <w:tr w:rsidR="003F6BE5" w:rsidRPr="003F6BE5" w:rsidTr="00B97EDB">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Total height [mm]</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670</w:t>
            </w:r>
          </w:p>
        </w:tc>
      </w:tr>
    </w:tbl>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619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lastRenderedPageBreak/>
              <w:drawing>
                <wp:inline distT="0" distB="0" distL="0" distR="0" wp14:anchorId="0D813FDA" wp14:editId="327B46EB">
                  <wp:extent cx="3797300" cy="2209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7300" cy="220980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12. Biggest DDD-Bearing of the project</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To increase the restoring stiffness of the isolation system, ISOSISM</w:t>
      </w:r>
      <w:r w:rsidRPr="003F6BE5">
        <w:rPr>
          <w:rFonts w:eastAsia="Times New Roman" w:cs="Arial"/>
          <w:snapToGrid w:val="0"/>
          <w:color w:val="545454"/>
          <w:sz w:val="20"/>
          <w:szCs w:val="20"/>
          <w:vertAlign w:val="superscript"/>
          <w:lang w:val="en-US" w:eastAsia="en-US"/>
        </w:rPr>
        <w:t>®</w:t>
      </w:r>
      <w:r w:rsidRPr="003F6BE5">
        <w:rPr>
          <w:rFonts w:eastAsia="Times New Roman"/>
          <w:snapToGrid w:val="0"/>
          <w:szCs w:val="24"/>
          <w:lang w:val="en-US" w:eastAsia="en-US"/>
        </w:rPr>
        <w:t xml:space="preserve"> High Damping Rubber Bearings (HDRB) have been added at each pier. They are composed by a series of dissipative elastomeric layers and steel plates vulcanized together (see Figure 13). These devices work in parallel to the DDD-Bearings and are equipped with flat jacks to provide a constant vertical pressure to ensure the damping capacity. All the elastomeric isolators have been manufactured by FPC Rubber, the owned rubber devices factory of Freyssinet.</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825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3E5C6C1B" wp14:editId="7AAC0D44">
                  <wp:extent cx="5105400" cy="17081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05400" cy="170815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13. ISOSIM</w:t>
      </w:r>
      <w:r w:rsidRPr="003F6BE5">
        <w:rPr>
          <w:rFonts w:eastAsia="Times New Roman" w:cs="Arial"/>
          <w:snapToGrid w:val="0"/>
          <w:color w:val="545454"/>
          <w:sz w:val="20"/>
          <w:szCs w:val="20"/>
          <w:vertAlign w:val="superscript"/>
          <w:lang w:val="en-US" w:eastAsia="en-US"/>
        </w:rPr>
        <w:t>®</w:t>
      </w:r>
      <w:r w:rsidRPr="003F6BE5">
        <w:rPr>
          <w:rFonts w:eastAsia="Times New Roman"/>
          <w:snapToGrid w:val="0"/>
          <w:sz w:val="20"/>
          <w:szCs w:val="24"/>
          <w:lang w:val="en-US" w:eastAsia="en-US"/>
        </w:rPr>
        <w:t xml:space="preserve"> High Damping Rubber Bearing</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Figure 14 illustrates the global lateral force-displacement behavior of the isolation system, highlighting the contributions of the different components.</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663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3585D227" wp14:editId="69DC03F2">
                  <wp:extent cx="4070350" cy="1962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7" cstate="print">
                            <a:extLst>
                              <a:ext uri="{28A0092B-C50C-407E-A947-70E740481C1C}">
                                <a14:useLocalDpi xmlns:a14="http://schemas.microsoft.com/office/drawing/2010/main" val="0"/>
                              </a:ext>
                            </a:extLst>
                          </a:blip>
                          <a:srcRect l="2226" t="12234" r="745" b="4637"/>
                          <a:stretch>
                            <a:fillRect/>
                          </a:stretch>
                        </pic:blipFill>
                        <pic:spPr bwMode="auto">
                          <a:xfrm>
                            <a:off x="0" y="0"/>
                            <a:ext cx="4070350" cy="196215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14. Force-displacement response of the isolation system</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All the devices were designed, manufactured and tested by Freyssinet and supplied with CE marking.</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3F6BE5">
        <w:rPr>
          <w:rFonts w:eastAsia="Times New Roman"/>
          <w:b/>
          <w:caps/>
          <w:snapToGrid w:val="0"/>
          <w:szCs w:val="24"/>
          <w:lang w:val="en-US" w:eastAsia="en-US"/>
        </w:rPr>
        <w:t>4. DYNAMIC ANALYSIS</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 xml:space="preserve">The dynamic analysis of the viaducts, performed by Yuksel Project with Larsa 4D software, allowed to determine the required characteristics of the different types of devices based on the geometry of the structures and the strong seismic input. The viaducts have been modelled using beam elements and a spectral analysis has been performed to determine the dynamic response; the seismic input was properly reduced to consider the additional damping provided by the anti-seismic devices. Figure 15 shows the seismic deformations of Alibeyköy viaduct numerical model.   </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693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38905CB1" wp14:editId="1540BCDB">
                  <wp:extent cx="4267200" cy="2095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67200" cy="2095500"/>
                          </a:xfrm>
                          <a:prstGeom prst="rect">
                            <a:avLst/>
                          </a:prstGeom>
                          <a:noFill/>
                          <a:ln>
                            <a:noFill/>
                          </a:ln>
                        </pic:spPr>
                      </pic:pic>
                    </a:graphicData>
                  </a:graphic>
                </wp:inline>
              </w:drawing>
            </w:r>
          </w:p>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6F99ED21" wp14:editId="7F2B0771">
                  <wp:extent cx="4267200" cy="2095500"/>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7200" cy="209550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15. Seismic longitudinal (top) and transversal (bottom) displacements of Alibeyköy viaduct</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3F6BE5">
        <w:rPr>
          <w:rFonts w:eastAsia="Times New Roman"/>
          <w:b/>
          <w:caps/>
          <w:snapToGrid w:val="0"/>
          <w:szCs w:val="24"/>
          <w:lang w:val="en-US" w:eastAsia="en-US"/>
        </w:rPr>
        <w:t>5. TEST OF THE DEVICES</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All the anti-seismic devices supplied by Freyssinet for the Alibeyköy and Kagithane viaducts have been tested both under Type Test protocol, to verify the compliance of the performances with the design values according to defined tolerances, and by Factory Production Control (FPC) test on a percentage of the mass production to check performance stability. The devices have been tested full-scale at ISOLAB (the Freyssinet testing facility based in Montebello della Battaglia, Pavia, Italy), thanks to the advanced dynamic equipment capable to apply the design loads and displacements under three dynamic cycles.</w:t>
      </w: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Table 3 and 4 report main parameters of HDRBs Type Tests and FPC tests; Figure 16 shows the testing of one device and its hysteretic response.</w:t>
      </w:r>
    </w:p>
    <w:p w:rsidR="003F6BE5" w:rsidRPr="003F6BE5" w:rsidRDefault="003F6BE5" w:rsidP="003F6BE5">
      <w:pPr>
        <w:spacing w:after="0" w:line="240" w:lineRule="auto"/>
        <w:ind w:left="11" w:hanging="11"/>
        <w:jc w:val="both"/>
        <w:rPr>
          <w:rFonts w:eastAsia="Times New Roman"/>
          <w:snapToGrid w:val="0"/>
          <w:szCs w:val="24"/>
          <w:lang w:val="en-US" w:eastAsia="en-US"/>
        </w:rPr>
      </w:pPr>
      <w:r w:rsidRPr="003F6BE5">
        <w:rPr>
          <w:rFonts w:eastAsia="Times New Roman"/>
          <w:snapToGrid w:val="0"/>
          <w:szCs w:val="24"/>
          <w:lang w:val="en-US" w:eastAsia="en-US"/>
        </w:rPr>
        <w:br w:type="page"/>
      </w: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Table 3. HDRB Type Tests parameters.</w:t>
      </w:r>
    </w:p>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2276"/>
      </w:tblGrid>
      <w:tr w:rsidR="003F6BE5" w:rsidRPr="003F6BE5" w:rsidTr="00B97EDB">
        <w:trPr>
          <w:jc w:val="center"/>
        </w:trPr>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Device type</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HDRB 0.8-10 700x209</w:t>
            </w:r>
          </w:p>
        </w:tc>
      </w:tr>
      <w:tr w:rsidR="003F6BE5" w:rsidRPr="003F6BE5" w:rsidTr="00B97EDB">
        <w:trPr>
          <w:jc w:val="center"/>
        </w:trPr>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Number of tested devices</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w:t>
            </w:r>
          </w:p>
        </w:tc>
      </w:tr>
      <w:tr w:rsidR="003F6BE5" w:rsidRPr="003F6BE5" w:rsidTr="00B97EDB">
        <w:trPr>
          <w:jc w:val="center"/>
        </w:trPr>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Maximum vertical load [kN]</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2310</w:t>
            </w:r>
          </w:p>
        </w:tc>
      </w:tr>
      <w:tr w:rsidR="003F6BE5" w:rsidRPr="003F6BE5" w:rsidTr="00B97EDB">
        <w:trPr>
          <w:jc w:val="center"/>
        </w:trPr>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Design displacement for cyclic test [mm]</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314</w:t>
            </w:r>
          </w:p>
        </w:tc>
      </w:tr>
      <w:tr w:rsidR="003F6BE5" w:rsidRPr="003F6BE5" w:rsidTr="00B97EDB">
        <w:trPr>
          <w:jc w:val="center"/>
        </w:trPr>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Maximum displacement for lateral stability test [mm]</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402</w:t>
            </w:r>
          </w:p>
        </w:tc>
      </w:tr>
    </w:tbl>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Table 4. HDRB FPC tests parameters.</w:t>
      </w:r>
    </w:p>
    <w:p w:rsidR="003F6BE5" w:rsidRPr="003F6BE5" w:rsidRDefault="003F6BE5" w:rsidP="003F6BE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2276"/>
        <w:gridCol w:w="2276"/>
      </w:tblGrid>
      <w:tr w:rsidR="003F6BE5" w:rsidRPr="003F6BE5" w:rsidTr="00B97EDB">
        <w:trPr>
          <w:jc w:val="center"/>
        </w:trPr>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bookmarkStart w:id="2" w:name="_Hlk536702389"/>
            <w:r w:rsidRPr="003F6BE5">
              <w:rPr>
                <w:rFonts w:eastAsia="Times New Roman"/>
                <w:snapToGrid w:val="0"/>
                <w:szCs w:val="24"/>
                <w:lang w:val="en-US" w:eastAsia="en-US"/>
              </w:rPr>
              <w:t>Device type</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HDRB 0.8-10 700x209</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HDRB 0.8-10 700x171</w:t>
            </w:r>
          </w:p>
        </w:tc>
      </w:tr>
      <w:tr w:rsidR="003F6BE5" w:rsidRPr="003F6BE5" w:rsidTr="00B97EDB">
        <w:trPr>
          <w:jc w:val="center"/>
        </w:trPr>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Number of tested devices</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5</w:t>
            </w:r>
          </w:p>
        </w:tc>
      </w:tr>
      <w:tr w:rsidR="003F6BE5" w:rsidRPr="003F6BE5" w:rsidTr="00B97EDB">
        <w:trPr>
          <w:jc w:val="center"/>
        </w:trPr>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Maximum vertical load [kN]</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2310</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2310</w:t>
            </w:r>
          </w:p>
        </w:tc>
      </w:tr>
      <w:tr w:rsidR="003F6BE5" w:rsidRPr="003F6BE5" w:rsidTr="00B97EDB">
        <w:trPr>
          <w:jc w:val="center"/>
        </w:trPr>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Design displacement for cyclic test [mm]</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314</w:t>
            </w:r>
          </w:p>
        </w:tc>
        <w:tc>
          <w:tcPr>
            <w:tcW w:w="0" w:type="auto"/>
            <w:shd w:val="clear" w:color="auto" w:fill="auto"/>
          </w:tcPr>
          <w:p w:rsidR="003F6BE5" w:rsidRPr="003F6BE5" w:rsidRDefault="003F6BE5" w:rsidP="003F6BE5">
            <w:pPr>
              <w:widowControl w:val="0"/>
              <w:tabs>
                <w:tab w:val="left" w:pos="0"/>
                <w:tab w:val="left" w:pos="720"/>
                <w:tab w:val="left" w:pos="1086"/>
                <w:tab w:val="left" w:pos="1440"/>
              </w:tabs>
              <w:suppressAutoHyphens/>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257</w:t>
            </w:r>
          </w:p>
        </w:tc>
      </w:tr>
      <w:bookmarkEnd w:id="2"/>
    </w:tbl>
    <w:p w:rsidR="003F6BE5" w:rsidRPr="003F6BE5" w:rsidRDefault="003F6BE5" w:rsidP="003F6BE5">
      <w:pPr>
        <w:widowControl w:val="0"/>
        <w:tabs>
          <w:tab w:val="left" w:pos="0"/>
        </w:tabs>
        <w:suppressAutoHyphens/>
        <w:spacing w:after="0" w:line="240" w:lineRule="auto"/>
        <w:jc w:val="both"/>
        <w:rPr>
          <w:rFonts w:eastAsia="Times New Roman"/>
          <w:snapToGrid w:val="0"/>
          <w:szCs w:val="24"/>
          <w:lang w:val="el-GR" w:eastAsia="en-US"/>
        </w:rPr>
      </w:pPr>
    </w:p>
    <w:tbl>
      <w:tblPr>
        <w:tblW w:w="0" w:type="auto"/>
        <w:jc w:val="center"/>
        <w:tblLook w:val="04A0" w:firstRow="1" w:lastRow="0" w:firstColumn="1" w:lastColumn="0" w:noHBand="0" w:noVBand="1"/>
      </w:tblPr>
      <w:tblGrid>
        <w:gridCol w:w="843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noProof/>
                <w:snapToGrid w:val="0"/>
                <w:szCs w:val="24"/>
              </w:rPr>
              <w:drawing>
                <wp:inline distT="0" distB="0" distL="0" distR="0" wp14:anchorId="30C96F04" wp14:editId="3AB4B4C2">
                  <wp:extent cx="5219700" cy="19748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197485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16. Testing of HDRB and associated hysteretic response</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C-shaped and E-shaped steel elements have been tested separately with coupled configuration, applying the design load and displacement. Figure 17 shows testing configuration of these elements and their hysteretic response.</w:t>
      </w:r>
    </w:p>
    <w:tbl>
      <w:tblPr>
        <w:tblW w:w="0" w:type="auto"/>
        <w:jc w:val="center"/>
        <w:tblLook w:val="04A0" w:firstRow="1" w:lastRow="0" w:firstColumn="1" w:lastColumn="0" w:noHBand="0" w:noVBand="1"/>
      </w:tblPr>
      <w:tblGrid>
        <w:gridCol w:w="3316"/>
        <w:gridCol w:w="5886"/>
      </w:tblGrid>
      <w:tr w:rsidR="003F6BE5" w:rsidRPr="003F6BE5" w:rsidTr="00B97EDB">
        <w:trPr>
          <w:jc w:val="center"/>
        </w:trPr>
        <w:tc>
          <w:tcPr>
            <w:tcW w:w="0" w:type="auto"/>
            <w:shd w:val="clear" w:color="auto" w:fill="auto"/>
          </w:tcPr>
          <w:p w:rsidR="003F6BE5" w:rsidRPr="003F6BE5" w:rsidRDefault="003F6BE5" w:rsidP="003F6BE5">
            <w:pPr>
              <w:widowControl w:val="0"/>
              <w:spacing w:after="0" w:line="240" w:lineRule="auto"/>
              <w:jc w:val="right"/>
              <w:rPr>
                <w:rFonts w:eastAsia="Times New Roman"/>
                <w:snapToGrid w:val="0"/>
                <w:szCs w:val="24"/>
                <w:lang w:val="en-US" w:eastAsia="en-US"/>
              </w:rPr>
            </w:pPr>
            <w:r w:rsidRPr="003F6BE5">
              <w:rPr>
                <w:rFonts w:eastAsia="Times New Roman"/>
                <w:noProof/>
                <w:snapToGrid w:val="0"/>
                <w:szCs w:val="24"/>
              </w:rPr>
              <w:drawing>
                <wp:inline distT="0" distB="0" distL="0" distR="0" wp14:anchorId="41875B2E" wp14:editId="00C1D259">
                  <wp:extent cx="1968500" cy="2667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8500" cy="2667000"/>
                          </a:xfrm>
                          <a:prstGeom prst="rect">
                            <a:avLst/>
                          </a:prstGeom>
                          <a:noFill/>
                          <a:ln>
                            <a:noFill/>
                          </a:ln>
                        </pic:spPr>
                      </pic:pic>
                    </a:graphicData>
                  </a:graphic>
                </wp:inline>
              </w:drawing>
            </w:r>
          </w:p>
        </w:tc>
        <w:tc>
          <w:tcPr>
            <w:tcW w:w="0" w:type="auto"/>
            <w:shd w:val="clear" w:color="auto" w:fill="auto"/>
            <w:vAlign w:val="center"/>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noProof/>
                <w:snapToGrid w:val="0"/>
                <w:szCs w:val="24"/>
              </w:rPr>
              <w:drawing>
                <wp:inline distT="0" distB="0" distL="0" distR="0" wp14:anchorId="26AF639F" wp14:editId="318D8296">
                  <wp:extent cx="3600450" cy="18034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450" cy="1803400"/>
                          </a:xfrm>
                          <a:prstGeom prst="rect">
                            <a:avLst/>
                          </a:prstGeom>
                          <a:noFill/>
                          <a:ln>
                            <a:noFill/>
                          </a:ln>
                        </pic:spPr>
                      </pic:pic>
                    </a:graphicData>
                  </a:graphic>
                </wp:inline>
              </w:drawing>
            </w:r>
          </w:p>
        </w:tc>
      </w:tr>
    </w:tbl>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17. Testing of E-shaped steel elements (left) and associated hysteretic response (right)</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 xml:space="preserve">Once the full DDD-bearings have been assembled, a test on a full-scale complete device has been performed to verify the overall behavior, thus checking that all the components worked well when assembled together, avoiding any interference between elements that could cause unexpected behavior or, worst, failing of the device. Figure 18 shows the device under the testing machine with its hysteretic response. </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4898"/>
        <w:gridCol w:w="4956"/>
      </w:tblGrid>
      <w:tr w:rsidR="003F6BE5" w:rsidRPr="003F6BE5" w:rsidTr="00B97EDB">
        <w:trPr>
          <w:jc w:val="center"/>
        </w:trPr>
        <w:tc>
          <w:tcPr>
            <w:tcW w:w="0" w:type="auto"/>
            <w:shd w:val="clear" w:color="auto" w:fill="auto"/>
            <w:vAlign w:val="center"/>
          </w:tcPr>
          <w:p w:rsidR="003F6BE5" w:rsidRPr="003F6BE5" w:rsidRDefault="003F6BE5" w:rsidP="003F6BE5">
            <w:pPr>
              <w:widowControl w:val="0"/>
              <w:spacing w:after="0" w:line="240" w:lineRule="auto"/>
              <w:jc w:val="right"/>
              <w:rPr>
                <w:rFonts w:eastAsia="Times New Roman"/>
                <w:snapToGrid w:val="0"/>
                <w:szCs w:val="24"/>
                <w:lang w:val="en-US" w:eastAsia="en-US"/>
              </w:rPr>
            </w:pPr>
            <w:r w:rsidRPr="003F6BE5">
              <w:rPr>
                <w:rFonts w:eastAsia="Times New Roman"/>
                <w:noProof/>
                <w:snapToGrid w:val="0"/>
                <w:szCs w:val="24"/>
              </w:rPr>
              <w:drawing>
                <wp:inline distT="0" distB="0" distL="0" distR="0" wp14:anchorId="1CD77FD6" wp14:editId="124FED94">
                  <wp:extent cx="3048000" cy="1797050"/>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0" cy="1797050"/>
                          </a:xfrm>
                          <a:prstGeom prst="rect">
                            <a:avLst/>
                          </a:prstGeom>
                          <a:noFill/>
                          <a:ln>
                            <a:noFill/>
                          </a:ln>
                        </pic:spPr>
                      </pic:pic>
                    </a:graphicData>
                  </a:graphic>
                </wp:inline>
              </w:drawing>
            </w:r>
          </w:p>
        </w:tc>
        <w:tc>
          <w:tcPr>
            <w:tcW w:w="0" w:type="auto"/>
            <w:shd w:val="clear" w:color="auto" w:fill="auto"/>
            <w:vAlign w:val="center"/>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noProof/>
                <w:snapToGrid w:val="0"/>
                <w:szCs w:val="24"/>
              </w:rPr>
              <w:drawing>
                <wp:inline distT="0" distB="0" distL="0" distR="0" wp14:anchorId="1F5A04C5" wp14:editId="5B75CC06">
                  <wp:extent cx="3048000" cy="1797050"/>
                  <wp:effectExtent l="19050" t="19050" r="19050" b="1270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0" cy="1797050"/>
                          </a:xfrm>
                          <a:prstGeom prst="rect">
                            <a:avLst/>
                          </a:prstGeom>
                          <a:noFill/>
                          <a:ln w="9525" cmpd="sng">
                            <a:solidFill>
                              <a:srgbClr val="000000"/>
                            </a:solidFill>
                            <a:miter lim="800000"/>
                            <a:headEnd/>
                            <a:tailEnd/>
                          </a:ln>
                          <a:effectLst/>
                        </pic:spPr>
                      </pic:pic>
                    </a:graphicData>
                  </a:graphic>
                </wp:inline>
              </w:drawing>
            </w:r>
          </w:p>
        </w:tc>
      </w:tr>
    </w:tbl>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Figure 18. Testing of DDD-Bearing (left) and associated hysteretic response (right)</w:t>
      </w:r>
    </w:p>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Finally, Table 5 reports main testing parameters of the full device.</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center"/>
        <w:rPr>
          <w:rFonts w:eastAsia="Times New Roman"/>
          <w:snapToGrid w:val="0"/>
          <w:sz w:val="20"/>
          <w:szCs w:val="24"/>
          <w:lang w:val="en-US" w:eastAsia="en-US"/>
        </w:rPr>
      </w:pPr>
      <w:r w:rsidRPr="003F6BE5">
        <w:rPr>
          <w:rFonts w:eastAsia="Times New Roman"/>
          <w:snapToGrid w:val="0"/>
          <w:sz w:val="20"/>
          <w:szCs w:val="24"/>
          <w:lang w:val="en-US" w:eastAsia="en-US"/>
        </w:rPr>
        <w:t>Table 5. DDD-Bearing testing parameters.</w:t>
      </w:r>
    </w:p>
    <w:p w:rsidR="003F6BE5" w:rsidRPr="003F6BE5" w:rsidRDefault="003F6BE5" w:rsidP="003F6BE5">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3778"/>
        <w:gridCol w:w="722"/>
        <w:gridCol w:w="722"/>
        <w:gridCol w:w="722"/>
        <w:gridCol w:w="722"/>
        <w:gridCol w:w="722"/>
        <w:gridCol w:w="722"/>
      </w:tblGrid>
      <w:tr w:rsidR="003F6BE5" w:rsidRPr="003F6BE5" w:rsidTr="00B97EDB">
        <w:trPr>
          <w:jc w:val="center"/>
        </w:trPr>
        <w:tc>
          <w:tcPr>
            <w:tcW w:w="0" w:type="auto"/>
            <w:gridSpan w:val="2"/>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Device type</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E1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E2</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E3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E4</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C1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C2</w:t>
            </w:r>
          </w:p>
        </w:tc>
      </w:tr>
      <w:tr w:rsidR="003F6BE5" w:rsidRPr="003F6BE5" w:rsidTr="00B97EDB">
        <w:trPr>
          <w:jc w:val="center"/>
        </w:trPr>
        <w:tc>
          <w:tcPr>
            <w:tcW w:w="0" w:type="auto"/>
            <w:vMerge w:val="restart"/>
            <w:shd w:val="clear" w:color="auto" w:fill="auto"/>
            <w:vAlign w:val="center"/>
          </w:tcPr>
          <w:p w:rsidR="003F6BE5" w:rsidRPr="003F6BE5" w:rsidRDefault="003F6BE5" w:rsidP="003F6BE5">
            <w:pPr>
              <w:widowControl w:val="0"/>
              <w:spacing w:after="0" w:line="240" w:lineRule="auto"/>
              <w:jc w:val="both"/>
              <w:rPr>
                <w:rFonts w:eastAsia="Times New Roman"/>
                <w:b/>
                <w:snapToGrid w:val="0"/>
                <w:szCs w:val="24"/>
                <w:lang w:val="en-US" w:eastAsia="en-US"/>
              </w:rPr>
            </w:pPr>
            <w:r w:rsidRPr="003F6BE5">
              <w:rPr>
                <w:rFonts w:eastAsia="Times New Roman"/>
                <w:b/>
                <w:snapToGrid w:val="0"/>
                <w:szCs w:val="24"/>
                <w:lang w:val="en-US" w:eastAsia="en-US"/>
              </w:rPr>
              <w:t>Type Tests</w:t>
            </w:r>
          </w:p>
        </w:tc>
        <w:tc>
          <w:tcPr>
            <w:tcW w:w="0" w:type="auto"/>
            <w:shd w:val="clear" w:color="auto" w:fill="auto"/>
            <w:vAlign w:val="center"/>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Number tested devices</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w:t>
            </w:r>
          </w:p>
        </w:tc>
      </w:tr>
      <w:tr w:rsidR="003F6BE5" w:rsidRPr="003F6BE5" w:rsidTr="00B97EDB">
        <w:trPr>
          <w:jc w:val="center"/>
        </w:trPr>
        <w:tc>
          <w:tcPr>
            <w:tcW w:w="0" w:type="auto"/>
            <w:vMerge/>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vAlign w:val="center"/>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Maximum load [kN]</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222</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272</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420</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472</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209</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170</w:t>
            </w:r>
          </w:p>
        </w:tc>
      </w:tr>
      <w:tr w:rsidR="003F6BE5" w:rsidRPr="003F6BE5" w:rsidTr="00B97EDB">
        <w:trPr>
          <w:jc w:val="center"/>
        </w:trPr>
        <w:tc>
          <w:tcPr>
            <w:tcW w:w="0" w:type="auto"/>
            <w:vMerge/>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vAlign w:val="center"/>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Design displacement of cyclic test [mm]</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193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233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193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233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350</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350</w:t>
            </w:r>
          </w:p>
        </w:tc>
      </w:tr>
      <w:tr w:rsidR="003F6BE5" w:rsidRPr="003F6BE5" w:rsidTr="00B97EDB">
        <w:trPr>
          <w:jc w:val="center"/>
        </w:trPr>
        <w:tc>
          <w:tcPr>
            <w:tcW w:w="0" w:type="auto"/>
            <w:vMerge/>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vAlign w:val="center"/>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Maximum displacement [mm]</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319</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385</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319</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385</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385</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385</w:t>
            </w:r>
          </w:p>
        </w:tc>
      </w:tr>
      <w:tr w:rsidR="003F6BE5" w:rsidRPr="003F6BE5" w:rsidTr="00B97EDB">
        <w:trPr>
          <w:jc w:val="center"/>
        </w:trPr>
        <w:tc>
          <w:tcPr>
            <w:tcW w:w="0" w:type="auto"/>
            <w:vMerge w:val="restart"/>
            <w:shd w:val="clear" w:color="auto" w:fill="auto"/>
            <w:vAlign w:val="center"/>
          </w:tcPr>
          <w:p w:rsidR="003F6BE5" w:rsidRPr="003F6BE5" w:rsidRDefault="003F6BE5" w:rsidP="003F6BE5">
            <w:pPr>
              <w:widowControl w:val="0"/>
              <w:spacing w:after="0" w:line="240" w:lineRule="auto"/>
              <w:jc w:val="both"/>
              <w:rPr>
                <w:rFonts w:eastAsia="Times New Roman"/>
                <w:b/>
                <w:snapToGrid w:val="0"/>
                <w:szCs w:val="24"/>
                <w:lang w:val="en-US" w:eastAsia="en-US"/>
              </w:rPr>
            </w:pPr>
            <w:r w:rsidRPr="003F6BE5">
              <w:rPr>
                <w:rFonts w:eastAsia="Times New Roman"/>
                <w:b/>
                <w:snapToGrid w:val="0"/>
                <w:szCs w:val="24"/>
                <w:lang w:val="en-US" w:eastAsia="en-US"/>
              </w:rPr>
              <w:t>FPC Tests</w:t>
            </w:r>
          </w:p>
        </w:tc>
        <w:tc>
          <w:tcPr>
            <w:tcW w:w="0" w:type="auto"/>
            <w:shd w:val="clear" w:color="auto" w:fill="auto"/>
            <w:vAlign w:val="center"/>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Number of tested devices</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w:t>
            </w:r>
          </w:p>
        </w:tc>
      </w:tr>
      <w:tr w:rsidR="003F6BE5" w:rsidRPr="003F6BE5" w:rsidTr="00B97EDB">
        <w:trPr>
          <w:jc w:val="center"/>
        </w:trPr>
        <w:tc>
          <w:tcPr>
            <w:tcW w:w="0" w:type="auto"/>
            <w:vMerge/>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vAlign w:val="center"/>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Maximum load [kN]</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208</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255</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394</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443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196</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160</w:t>
            </w:r>
          </w:p>
        </w:tc>
      </w:tr>
      <w:tr w:rsidR="003F6BE5" w:rsidRPr="003F6BE5" w:rsidTr="00B97EDB">
        <w:trPr>
          <w:jc w:val="center"/>
        </w:trPr>
        <w:tc>
          <w:tcPr>
            <w:tcW w:w="0" w:type="auto"/>
            <w:vMerge/>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p>
        </w:tc>
        <w:tc>
          <w:tcPr>
            <w:tcW w:w="0" w:type="auto"/>
            <w:shd w:val="clear" w:color="auto" w:fill="auto"/>
            <w:vAlign w:val="center"/>
          </w:tcPr>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Design displacement of cyclic test [mm]</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193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233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193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233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233</w:t>
            </w:r>
          </w:p>
        </w:tc>
        <w:tc>
          <w:tcPr>
            <w:tcW w:w="0" w:type="auto"/>
            <w:shd w:val="clear" w:color="auto" w:fill="auto"/>
            <w:vAlign w:val="center"/>
          </w:tcPr>
          <w:p w:rsidR="003F6BE5" w:rsidRPr="003F6BE5" w:rsidRDefault="003F6BE5" w:rsidP="003F6BE5">
            <w:pPr>
              <w:widowControl w:val="0"/>
              <w:spacing w:after="0" w:line="240" w:lineRule="auto"/>
              <w:jc w:val="center"/>
              <w:rPr>
                <w:rFonts w:eastAsia="Times New Roman"/>
                <w:snapToGrid w:val="0"/>
                <w:szCs w:val="24"/>
                <w:lang w:val="en-US" w:eastAsia="en-US"/>
              </w:rPr>
            </w:pPr>
            <w:r w:rsidRPr="003F6BE5">
              <w:rPr>
                <w:rFonts w:eastAsia="Times New Roman"/>
                <w:snapToGrid w:val="0"/>
                <w:szCs w:val="24"/>
                <w:lang w:val="en-US" w:eastAsia="en-US"/>
              </w:rPr>
              <w:t>± 233</w:t>
            </w:r>
          </w:p>
        </w:tc>
      </w:tr>
    </w:tbl>
    <w:p w:rsidR="003F6BE5" w:rsidRPr="003F6BE5" w:rsidRDefault="003F6BE5" w:rsidP="003F6BE5">
      <w:pPr>
        <w:widowControl w:val="0"/>
        <w:spacing w:after="0" w:line="240" w:lineRule="auto"/>
        <w:jc w:val="center"/>
        <w:rPr>
          <w:rFonts w:eastAsia="Times New Roman"/>
          <w:snapToGrid w:val="0"/>
          <w:szCs w:val="24"/>
          <w:lang w:eastAsia="en-US"/>
        </w:rPr>
      </w:pPr>
    </w:p>
    <w:p w:rsidR="003F6BE5" w:rsidRPr="003F6BE5" w:rsidRDefault="003F6BE5" w:rsidP="003F6BE5">
      <w:pPr>
        <w:widowControl w:val="0"/>
        <w:spacing w:after="0" w:line="240" w:lineRule="auto"/>
        <w:jc w:val="center"/>
        <w:rPr>
          <w:rFonts w:eastAsia="Times New Roman"/>
          <w:snapToGrid w:val="0"/>
          <w:szCs w:val="24"/>
          <w:lang w:eastAsia="en-US"/>
        </w:rPr>
      </w:pPr>
    </w:p>
    <w:p w:rsidR="003F6BE5" w:rsidRPr="003F6BE5" w:rsidRDefault="003F6BE5" w:rsidP="003F6BE5">
      <w:pPr>
        <w:widowControl w:val="0"/>
        <w:spacing w:after="0" w:line="240" w:lineRule="auto"/>
        <w:jc w:val="center"/>
        <w:rPr>
          <w:rFonts w:eastAsia="Times New Roman"/>
          <w:snapToGrid w:val="0"/>
          <w:szCs w:val="24"/>
          <w:lang w:val="en-US" w:eastAsia="en-US"/>
        </w:rPr>
      </w:pPr>
    </w:p>
    <w:p w:rsidR="003F6BE5" w:rsidRPr="003F6BE5" w:rsidRDefault="003F6BE5" w:rsidP="003F6BE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3F6BE5">
        <w:rPr>
          <w:rFonts w:eastAsia="Times New Roman"/>
          <w:b/>
          <w:caps/>
          <w:snapToGrid w:val="0"/>
          <w:szCs w:val="24"/>
          <w:lang w:val="en-US" w:eastAsia="en-US"/>
        </w:rPr>
        <w:t>6. Conclusions</w:t>
      </w:r>
    </w:p>
    <w:p w:rsidR="003F6BE5" w:rsidRPr="003F6BE5" w:rsidRDefault="003F6BE5" w:rsidP="003F6BE5">
      <w:pPr>
        <w:widowControl w:val="0"/>
        <w:spacing w:after="0" w:line="240" w:lineRule="auto"/>
        <w:jc w:val="both"/>
        <w:rPr>
          <w:rFonts w:eastAsia="Times New Roman"/>
          <w:snapToGrid w:val="0"/>
          <w:szCs w:val="24"/>
          <w:lang w:val="en-US" w:eastAsia="en-US"/>
        </w:rPr>
      </w:pP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The Alibeyköy and Kagithane viaducts, part of the new metro line of Istanbul between Mecidiyeköy and Mahmutbey, as all the rest of the infrastructures of this seismic region, are subjected to strong earthquakes. Railway structures are special infrastructures that can admit limited displacements to avoid damages to the rail line. Satisfying all the design requirements it has been a challenge, especially regarding the conception, design and delivery of the exceptional multi-functional isolation system.</w:t>
      </w: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The solution chosen by Yuksel Project and developed by Freyssinet engineering team consisted in a very complex system of devices with different behaviors working together in a unique special bearing called DDD-Bearing. Additional stiffness is provided by High Damping Rubber Bearings installed in parallel.</w:t>
      </w: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All the devices have been designed and manufactured and tested by Freyssinet; special attention was given to the DDD-Bearing, testing both the full-scale complete device and the different components, verifying the satisfaction of the global behavior. The efficiency of the isolation system was hence validated according to the designer requirements to protect the viaducts against earthquakes and allowing people mobility even after a seismic event.</w:t>
      </w:r>
    </w:p>
    <w:p w:rsidR="003F6BE5" w:rsidRPr="003F6BE5" w:rsidRDefault="003F6BE5" w:rsidP="003F6BE5">
      <w:pPr>
        <w:widowControl w:val="0"/>
        <w:spacing w:after="0" w:line="240" w:lineRule="auto"/>
        <w:jc w:val="both"/>
        <w:rPr>
          <w:rFonts w:eastAsia="Times New Roman"/>
          <w:snapToGrid w:val="0"/>
          <w:szCs w:val="24"/>
          <w:lang w:val="en-US" w:eastAsia="en-US"/>
        </w:rPr>
      </w:pPr>
      <w:r w:rsidRPr="003F6BE5">
        <w:rPr>
          <w:rFonts w:eastAsia="Times New Roman"/>
          <w:snapToGrid w:val="0"/>
          <w:szCs w:val="24"/>
          <w:lang w:val="en-US" w:eastAsia="en-US"/>
        </w:rPr>
        <w:t>This project highlights the know-how of the Freyssinet Group in the seismic protection field and its capacity to offer a global support: from the seismic assessment of the viaduct to the design of the isolation system; from the design to the production and testing of full-scale anti-seismic devices in dynamic conditions.</w:t>
      </w:r>
    </w:p>
    <w:p w:rsidR="003F6BE5" w:rsidRPr="003F6BE5" w:rsidRDefault="003F6BE5" w:rsidP="003F6BE5">
      <w:pPr>
        <w:spacing w:after="0" w:line="240" w:lineRule="auto"/>
        <w:ind w:left="11" w:hanging="11"/>
        <w:jc w:val="both"/>
        <w:rPr>
          <w:rFonts w:eastAsia="Times New Roman"/>
          <w:snapToGrid w:val="0"/>
          <w:szCs w:val="24"/>
          <w:lang w:val="en-US" w:eastAsia="en-US"/>
        </w:rPr>
      </w:pPr>
      <w:r w:rsidRPr="003F6BE5">
        <w:rPr>
          <w:rFonts w:eastAsia="Times New Roman"/>
          <w:snapToGrid w:val="0"/>
          <w:szCs w:val="24"/>
          <w:lang w:val="en-US" w:eastAsia="en-US"/>
        </w:rPr>
        <w:br w:type="page"/>
      </w:r>
    </w:p>
    <w:p w:rsidR="003F6BE5" w:rsidRPr="003F6BE5" w:rsidRDefault="003F6BE5" w:rsidP="003F6BE5">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3F6BE5">
        <w:rPr>
          <w:rFonts w:eastAsia="Times New Roman"/>
          <w:b/>
          <w:caps/>
          <w:snapToGrid w:val="0"/>
          <w:szCs w:val="24"/>
          <w:lang w:val="en-US" w:eastAsia="en-US"/>
        </w:rPr>
        <w:t>7. References</w:t>
      </w:r>
    </w:p>
    <w:p w:rsidR="003F6BE5" w:rsidRPr="003F6BE5" w:rsidRDefault="003F6BE5" w:rsidP="003F6BE5">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3F6BE5" w:rsidRPr="003F6BE5" w:rsidRDefault="003F6BE5" w:rsidP="003F6BE5">
      <w:pPr>
        <w:widowControl w:val="0"/>
        <w:spacing w:after="120" w:line="240" w:lineRule="auto"/>
        <w:jc w:val="both"/>
        <w:rPr>
          <w:rFonts w:eastAsia="Calibri"/>
          <w:snapToGrid w:val="0"/>
          <w:color w:val="000000"/>
          <w:sz w:val="20"/>
          <w:szCs w:val="20"/>
          <w:lang w:val="en-US" w:eastAsia="en-US" w:bidi="en-US"/>
        </w:rPr>
      </w:pPr>
      <w:r w:rsidRPr="003F6BE5">
        <w:rPr>
          <w:rFonts w:eastAsia="Calibri"/>
          <w:snapToGrid w:val="0"/>
          <w:color w:val="000000"/>
          <w:sz w:val="20"/>
          <w:szCs w:val="20"/>
          <w:lang w:val="en-US" w:eastAsia="en-US" w:bidi="en-US"/>
        </w:rPr>
        <w:t xml:space="preserve">Özkaya, C, Yılmaz, M. T. (2017)  Baret Temeller İçin Basen Etkisinin İncelenmesi: Alibeyköy Viyadüğü Çalışması, </w:t>
      </w:r>
      <w:r w:rsidRPr="003F6BE5">
        <w:rPr>
          <w:rFonts w:eastAsia="Calibri"/>
          <w:i/>
          <w:snapToGrid w:val="0"/>
          <w:color w:val="000000"/>
          <w:sz w:val="20"/>
          <w:szCs w:val="20"/>
          <w:lang w:val="en-US" w:eastAsia="en-US" w:bidi="en-US"/>
        </w:rPr>
        <w:t>3rd International Soil-Structure Interaction Symposium-Izmir</w:t>
      </w:r>
      <w:r w:rsidRPr="003F6BE5">
        <w:rPr>
          <w:rFonts w:eastAsia="Calibri"/>
          <w:snapToGrid w:val="0"/>
          <w:color w:val="000000"/>
          <w:sz w:val="20"/>
          <w:szCs w:val="20"/>
          <w:lang w:val="en-US" w:eastAsia="en-US" w:bidi="en-US"/>
        </w:rPr>
        <w:t>, Turkey</w:t>
      </w:r>
    </w:p>
    <w:p w:rsidR="003F6BE5" w:rsidRPr="003F6BE5" w:rsidRDefault="003F6BE5" w:rsidP="003F6BE5">
      <w:pPr>
        <w:widowControl w:val="0"/>
        <w:spacing w:after="0" w:line="240" w:lineRule="auto"/>
        <w:jc w:val="both"/>
        <w:rPr>
          <w:rFonts w:eastAsia="Calibri"/>
          <w:snapToGrid w:val="0"/>
          <w:color w:val="000000"/>
          <w:sz w:val="20"/>
          <w:szCs w:val="20"/>
          <w:lang w:val="en-US" w:eastAsia="en-US" w:bidi="en-US"/>
        </w:rPr>
      </w:pPr>
      <w:r w:rsidRPr="003F6BE5">
        <w:rPr>
          <w:rFonts w:eastAsia="Calibri"/>
          <w:snapToGrid w:val="0"/>
          <w:color w:val="000000"/>
          <w:sz w:val="20"/>
          <w:szCs w:val="20"/>
          <w:lang w:val="en-US" w:eastAsia="en-US" w:bidi="en-US"/>
        </w:rPr>
        <w:t xml:space="preserve">Erdik, M. &amp; Harmandar, E. (2015) Alibeyköy Viyadüğü Spektrum Uyumlu Ölceklenmis Deprem Yer Hareketi Kayitlari Belirlemesi, Istanbul, Turkey. </w:t>
      </w:r>
    </w:p>
    <w:p w:rsidR="006B3BBD" w:rsidRPr="003F6BE5" w:rsidRDefault="006B3BBD" w:rsidP="0013217D">
      <w:pPr>
        <w:spacing w:line="240" w:lineRule="auto"/>
        <w:jc w:val="both"/>
        <w:rPr>
          <w:lang w:val="en-US"/>
        </w:rPr>
      </w:pPr>
    </w:p>
    <w:sectPr w:rsidR="006B3BBD" w:rsidRPr="003F6BE5" w:rsidSect="003F6BE5">
      <w:headerReference w:type="default" r:id="rId35"/>
      <w:footerReference w:type="default" r:id="rId36"/>
      <w:headerReference w:type="first" r:id="rId37"/>
      <w:footerReference w:type="first" r:id="rId38"/>
      <w:pgSz w:w="11906" w:h="16838"/>
      <w:pgMar w:top="1418" w:right="1134" w:bottom="1418" w:left="1134" w:header="709" w:footer="709" w:gutter="0"/>
      <w:pgNumType w:start="66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9AB" w:rsidRDefault="002F09AB" w:rsidP="0013217D">
      <w:pPr>
        <w:spacing w:after="0" w:line="240" w:lineRule="auto"/>
      </w:pPr>
      <w:r>
        <w:separator/>
      </w:r>
    </w:p>
  </w:endnote>
  <w:endnote w:type="continuationSeparator" w:id="0">
    <w:p w:rsidR="002F09AB" w:rsidRDefault="002F09AB"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193228"/>
      <w:docPartObj>
        <w:docPartGallery w:val="Page Numbers (Bottom of Page)"/>
        <w:docPartUnique/>
      </w:docPartObj>
    </w:sdtPr>
    <w:sdtEndPr/>
    <w:sdtContent>
      <w:p w:rsidR="003F6BE5" w:rsidRDefault="003F6BE5">
        <w:pPr>
          <w:pStyle w:val="a5"/>
          <w:jc w:val="center"/>
        </w:pPr>
        <w:r>
          <w:fldChar w:fldCharType="begin"/>
        </w:r>
        <w:r>
          <w:instrText>PAGE   \* MERGEFORMAT</w:instrText>
        </w:r>
        <w:r>
          <w:fldChar w:fldCharType="separate"/>
        </w:r>
        <w:r w:rsidR="005B0371">
          <w:rPr>
            <w:noProof/>
          </w:rPr>
          <w:t>667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298028"/>
      <w:docPartObj>
        <w:docPartGallery w:val="Page Numbers (Bottom of Page)"/>
        <w:docPartUnique/>
      </w:docPartObj>
    </w:sdtPr>
    <w:sdtEndPr/>
    <w:sdtContent>
      <w:p w:rsidR="003F6BE5" w:rsidRDefault="003F6BE5">
        <w:pPr>
          <w:pStyle w:val="a5"/>
          <w:jc w:val="center"/>
        </w:pPr>
        <w:r>
          <w:fldChar w:fldCharType="begin"/>
        </w:r>
        <w:r>
          <w:instrText>PAGE   \* MERGEFORMAT</w:instrText>
        </w:r>
        <w:r>
          <w:fldChar w:fldCharType="separate"/>
        </w:r>
        <w:r w:rsidR="005B0371">
          <w:rPr>
            <w:noProof/>
          </w:rPr>
          <w:t>660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9AB" w:rsidRDefault="002F09AB" w:rsidP="0013217D">
      <w:pPr>
        <w:spacing w:after="0" w:line="240" w:lineRule="auto"/>
      </w:pPr>
      <w:r>
        <w:separator/>
      </w:r>
    </w:p>
  </w:footnote>
  <w:footnote w:type="continuationSeparator" w:id="0">
    <w:p w:rsidR="002F09AB" w:rsidRDefault="002F09AB" w:rsidP="0013217D">
      <w:pPr>
        <w:spacing w:after="0" w:line="240" w:lineRule="auto"/>
      </w:pPr>
      <w:r>
        <w:continuationSeparator/>
      </w:r>
    </w:p>
  </w:footnote>
  <w:footnote w:id="1">
    <w:p w:rsidR="003F6BE5" w:rsidRPr="003F6BE5" w:rsidRDefault="003F6BE5" w:rsidP="003F6BE5">
      <w:pPr>
        <w:pStyle w:val="a9"/>
        <w:rPr>
          <w:lang w:val="en-US"/>
        </w:rPr>
      </w:pPr>
      <w:r>
        <w:rPr>
          <w:rStyle w:val="ad"/>
        </w:rPr>
        <w:footnoteRef/>
      </w:r>
      <w:r w:rsidRPr="003F6BE5">
        <w:rPr>
          <w:lang w:val="en-US"/>
        </w:rPr>
        <w:t xml:space="preserve">Technical Manager, Freyssinet Product Company Italia, Milan, Italy, </w:t>
      </w:r>
      <w:hyperlink r:id="rId1" w:history="1">
        <w:r w:rsidRPr="003F6BE5">
          <w:rPr>
            <w:rStyle w:val="ae"/>
            <w:lang w:val="en-US"/>
          </w:rPr>
          <w:t>mauro.sartori@</w:t>
        </w:r>
      </w:hyperlink>
      <w:r w:rsidRPr="003F6BE5">
        <w:rPr>
          <w:rStyle w:val="ae"/>
          <w:lang w:val="en-US"/>
        </w:rPr>
        <w:t>freyssinet.com</w:t>
      </w:r>
      <w:r w:rsidRPr="003F6BE5">
        <w:rPr>
          <w:lang w:val="en-US"/>
        </w:rPr>
        <w:t xml:space="preserve"> </w:t>
      </w:r>
    </w:p>
  </w:footnote>
  <w:footnote w:id="2">
    <w:p w:rsidR="003F6BE5" w:rsidRPr="003F6BE5" w:rsidRDefault="003F6BE5" w:rsidP="003F6BE5">
      <w:pPr>
        <w:pStyle w:val="ab"/>
        <w:rPr>
          <w:lang w:val="en-US"/>
        </w:rPr>
      </w:pPr>
      <w:r>
        <w:rPr>
          <w:rStyle w:val="ad"/>
        </w:rPr>
        <w:footnoteRef/>
      </w:r>
      <w:r w:rsidRPr="003F6BE5">
        <w:rPr>
          <w:lang w:val="en-US"/>
        </w:rPr>
        <w:t xml:space="preserve">R&amp;D Engineer, Freyssinet Product Company Italia, Milan, Italy, </w:t>
      </w:r>
      <w:hyperlink r:id="rId2" w:history="1">
        <w:r w:rsidRPr="003F6BE5">
          <w:rPr>
            <w:rStyle w:val="ae"/>
            <w:lang w:val="en-US"/>
          </w:rPr>
          <w:t>stefano.barone@freyssinet.com</w:t>
        </w:r>
      </w:hyperlink>
      <w:r w:rsidRPr="003F6BE5">
        <w:rPr>
          <w:lang w:val="en-US"/>
        </w:rPr>
        <w:t xml:space="preserve"> </w:t>
      </w:r>
    </w:p>
  </w:footnote>
  <w:footnote w:id="3">
    <w:p w:rsidR="003F6BE5" w:rsidRPr="003F6BE5" w:rsidRDefault="003F6BE5" w:rsidP="003F6BE5">
      <w:pPr>
        <w:pStyle w:val="ab"/>
        <w:rPr>
          <w:lang w:val="en-US"/>
        </w:rPr>
      </w:pPr>
      <w:r>
        <w:rPr>
          <w:rStyle w:val="ad"/>
        </w:rPr>
        <w:footnoteRef/>
      </w:r>
      <w:r w:rsidRPr="003F6BE5">
        <w:rPr>
          <w:lang w:val="en-US"/>
        </w:rPr>
        <w:t xml:space="preserve">Technical Dept Manager, Freyssinet Product Company Italia, Milan, Italy, </w:t>
      </w:r>
      <w:hyperlink r:id="rId3" w:history="1">
        <w:r w:rsidRPr="003F6BE5">
          <w:rPr>
            <w:rStyle w:val="ae"/>
            <w:lang w:val="en-US"/>
          </w:rPr>
          <w:t>claudio.galbiati@</w:t>
        </w:r>
      </w:hyperlink>
      <w:r w:rsidRPr="003F6BE5">
        <w:rPr>
          <w:rStyle w:val="ae"/>
          <w:lang w:val="en-US"/>
        </w:rPr>
        <w:t>freyssinet.com</w:t>
      </w:r>
    </w:p>
  </w:footnote>
  <w:footnote w:id="4">
    <w:p w:rsidR="003F6BE5" w:rsidRPr="003F6BE5" w:rsidRDefault="003F6BE5" w:rsidP="003F6BE5">
      <w:pPr>
        <w:pStyle w:val="ab"/>
        <w:rPr>
          <w:lang w:val="en-US"/>
        </w:rPr>
      </w:pPr>
      <w:r w:rsidRPr="006A250A">
        <w:rPr>
          <w:rStyle w:val="ad"/>
        </w:rPr>
        <w:footnoteRef/>
      </w:r>
      <w:r w:rsidRPr="003F6BE5">
        <w:rPr>
          <w:lang w:val="en-US"/>
        </w:rPr>
        <w:t xml:space="preserve">Engineer, Freysaş, Istanbul, Turkey, </w:t>
      </w:r>
      <w:hyperlink r:id="rId4" w:history="1">
        <w:r w:rsidRPr="003F6BE5">
          <w:rPr>
            <w:rStyle w:val="ae"/>
            <w:lang w:val="en-US"/>
          </w:rPr>
          <w:t>burak.turkdonmez@</w:t>
        </w:r>
      </w:hyperlink>
      <w:r w:rsidRPr="003F6BE5">
        <w:rPr>
          <w:rStyle w:val="ae"/>
          <w:lang w:val="en-US"/>
        </w:rPr>
        <w:t>freyssinet.com</w:t>
      </w:r>
    </w:p>
  </w:footnote>
  <w:footnote w:id="5">
    <w:p w:rsidR="003F6BE5" w:rsidRPr="003F6BE5" w:rsidRDefault="003F6BE5" w:rsidP="003F6BE5">
      <w:pPr>
        <w:pStyle w:val="ab"/>
        <w:rPr>
          <w:lang w:val="en-US"/>
        </w:rPr>
      </w:pPr>
      <w:r w:rsidRPr="006A250A">
        <w:rPr>
          <w:rStyle w:val="ad"/>
        </w:rPr>
        <w:footnoteRef/>
      </w:r>
      <w:r w:rsidRPr="003F6BE5">
        <w:rPr>
          <w:lang w:val="en-US"/>
        </w:rPr>
        <w:t xml:space="preserve">Deputy Technical Director, Freyssinet, Rueil Malmaison, France, </w:t>
      </w:r>
      <w:hyperlink r:id="rId5" w:history="1">
        <w:r w:rsidRPr="003F6BE5">
          <w:rPr>
            <w:rStyle w:val="ae"/>
            <w:lang w:val="en-US"/>
          </w:rPr>
          <w:t>ivica.zivanovic@</w:t>
        </w:r>
      </w:hyperlink>
      <w:r w:rsidRPr="003F6BE5">
        <w:rPr>
          <w:rStyle w:val="ae"/>
          <w:lang w:val="en-US"/>
        </w:rPr>
        <w:t>freyssinet.com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44A05FD1" wp14:editId="5788B3A2">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BE5"/>
    <w:rsid w:val="000D7B9B"/>
    <w:rsid w:val="0013217D"/>
    <w:rsid w:val="00254B4D"/>
    <w:rsid w:val="002F09AB"/>
    <w:rsid w:val="003F6BE5"/>
    <w:rsid w:val="005B0371"/>
    <w:rsid w:val="006323CD"/>
    <w:rsid w:val="006B3BBD"/>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3F6BE5"/>
    <w:pPr>
      <w:spacing w:after="0" w:line="240" w:lineRule="auto"/>
    </w:pPr>
    <w:rPr>
      <w:sz w:val="20"/>
      <w:szCs w:val="20"/>
    </w:rPr>
  </w:style>
  <w:style w:type="character" w:customStyle="1" w:styleId="aa">
    <w:name w:val="Текст концевой сноски Знак"/>
    <w:basedOn w:val="a0"/>
    <w:link w:val="a9"/>
    <w:uiPriority w:val="99"/>
    <w:semiHidden/>
    <w:rsid w:val="003F6BE5"/>
    <w:rPr>
      <w:sz w:val="20"/>
      <w:szCs w:val="20"/>
    </w:rPr>
  </w:style>
  <w:style w:type="paragraph" w:styleId="ab">
    <w:name w:val="footnote text"/>
    <w:basedOn w:val="a"/>
    <w:link w:val="ac"/>
    <w:uiPriority w:val="99"/>
    <w:semiHidden/>
    <w:unhideWhenUsed/>
    <w:rsid w:val="003F6BE5"/>
    <w:pPr>
      <w:spacing w:after="0" w:line="240" w:lineRule="auto"/>
    </w:pPr>
    <w:rPr>
      <w:sz w:val="20"/>
      <w:szCs w:val="20"/>
    </w:rPr>
  </w:style>
  <w:style w:type="character" w:customStyle="1" w:styleId="ac">
    <w:name w:val="Текст сноски Знак"/>
    <w:basedOn w:val="a0"/>
    <w:link w:val="ab"/>
    <w:uiPriority w:val="99"/>
    <w:semiHidden/>
    <w:rsid w:val="003F6BE5"/>
    <w:rPr>
      <w:sz w:val="20"/>
      <w:szCs w:val="20"/>
    </w:rPr>
  </w:style>
  <w:style w:type="character" w:styleId="ad">
    <w:name w:val="footnote reference"/>
    <w:basedOn w:val="a0"/>
    <w:semiHidden/>
    <w:rsid w:val="003F6BE5"/>
    <w:rPr>
      <w:rFonts w:ascii="Times New Roman" w:hAnsi="Times New Roman"/>
      <w:sz w:val="22"/>
      <w:vertAlign w:val="superscript"/>
    </w:rPr>
  </w:style>
  <w:style w:type="character" w:styleId="ae">
    <w:name w:val="Hyperlink"/>
    <w:basedOn w:val="a0"/>
    <w:rsid w:val="003F6BE5"/>
    <w:rPr>
      <w:rFonts w:ascii="Times New Roman" w:hAnsi="Times New Roman"/>
      <w:color w:val="0000FF" w:themeColor="hyperlink"/>
      <w:sz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3F6BE5"/>
    <w:pPr>
      <w:spacing w:after="0" w:line="240" w:lineRule="auto"/>
    </w:pPr>
    <w:rPr>
      <w:sz w:val="20"/>
      <w:szCs w:val="20"/>
    </w:rPr>
  </w:style>
  <w:style w:type="character" w:customStyle="1" w:styleId="aa">
    <w:name w:val="Текст концевой сноски Знак"/>
    <w:basedOn w:val="a0"/>
    <w:link w:val="a9"/>
    <w:uiPriority w:val="99"/>
    <w:semiHidden/>
    <w:rsid w:val="003F6BE5"/>
    <w:rPr>
      <w:sz w:val="20"/>
      <w:szCs w:val="20"/>
    </w:rPr>
  </w:style>
  <w:style w:type="paragraph" w:styleId="ab">
    <w:name w:val="footnote text"/>
    <w:basedOn w:val="a"/>
    <w:link w:val="ac"/>
    <w:uiPriority w:val="99"/>
    <w:semiHidden/>
    <w:unhideWhenUsed/>
    <w:rsid w:val="003F6BE5"/>
    <w:pPr>
      <w:spacing w:after="0" w:line="240" w:lineRule="auto"/>
    </w:pPr>
    <w:rPr>
      <w:sz w:val="20"/>
      <w:szCs w:val="20"/>
    </w:rPr>
  </w:style>
  <w:style w:type="character" w:customStyle="1" w:styleId="ac">
    <w:name w:val="Текст сноски Знак"/>
    <w:basedOn w:val="a0"/>
    <w:link w:val="ab"/>
    <w:uiPriority w:val="99"/>
    <w:semiHidden/>
    <w:rsid w:val="003F6BE5"/>
    <w:rPr>
      <w:sz w:val="20"/>
      <w:szCs w:val="20"/>
    </w:rPr>
  </w:style>
  <w:style w:type="character" w:styleId="ad">
    <w:name w:val="footnote reference"/>
    <w:basedOn w:val="a0"/>
    <w:semiHidden/>
    <w:rsid w:val="003F6BE5"/>
    <w:rPr>
      <w:rFonts w:ascii="Times New Roman" w:hAnsi="Times New Roman"/>
      <w:sz w:val="22"/>
      <w:vertAlign w:val="superscript"/>
    </w:rPr>
  </w:style>
  <w:style w:type="character" w:styleId="ae">
    <w:name w:val="Hyperlink"/>
    <w:basedOn w:val="a0"/>
    <w:rsid w:val="003F6BE5"/>
    <w:rPr>
      <w:rFonts w:ascii="Times New Roman" w:hAnsi="Times New Roman"/>
      <w:color w:val="0000FF" w:themeColor="hyperlink"/>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mailto:claudio.galbiati@" TargetMode="External"/><Relationship Id="rId2" Type="http://schemas.openxmlformats.org/officeDocument/2006/relationships/hyperlink" Target="mailto:stefano.barone@freyssinet.com" TargetMode="External"/><Relationship Id="rId1" Type="http://schemas.openxmlformats.org/officeDocument/2006/relationships/hyperlink" Target="mailto:mauro.sartori@" TargetMode="External"/><Relationship Id="rId5" Type="http://schemas.openxmlformats.org/officeDocument/2006/relationships/hyperlink" Target="mailto:ivica.zivanovic@" TargetMode="External"/><Relationship Id="rId4" Type="http://schemas.openxmlformats.org/officeDocument/2006/relationships/hyperlink" Target="mailto:burak.turkdonme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2377</Words>
  <Characters>13551</Characters>
  <Application>Microsoft Office Word</Application>
  <DocSecurity>0</DocSecurity>
  <Lines>112</Lines>
  <Paragraphs>31</Paragraphs>
  <ScaleCrop>false</ScaleCrop>
  <Company>diakov.net</Company>
  <LinksUpToDate>false</LinksUpToDate>
  <CharactersWithSpaces>15897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2020-06-27T21:30:00Z</dcterms:created>
  <dcterms:modified xsi:type="dcterms:W3CDTF">2021-05-12T15:15:00Z</dcterms:modified>
</cp:coreProperties>
</file>