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6FD" w:rsidRPr="000846FD" w:rsidRDefault="000846FD" w:rsidP="000846FD">
      <w:pPr>
        <w:widowControl w:val="0"/>
        <w:spacing w:after="0" w:line="240" w:lineRule="auto"/>
        <w:jc w:val="center"/>
        <w:outlineLvl w:val="0"/>
        <w:rPr>
          <w:rFonts w:eastAsia="Calibri"/>
          <w:b/>
          <w:caps/>
          <w:snapToGrid w:val="0"/>
          <w:sz w:val="28"/>
          <w:szCs w:val="24"/>
          <w:lang w:val="en-US" w:eastAsia="en-US"/>
        </w:rPr>
      </w:pPr>
      <w:bookmarkStart w:id="0" w:name="_GoBack"/>
      <w:bookmarkEnd w:id="0"/>
    </w:p>
    <w:p w:rsidR="000846FD" w:rsidRPr="000846FD" w:rsidRDefault="000846FD" w:rsidP="000846FD">
      <w:pPr>
        <w:widowControl w:val="0"/>
        <w:spacing w:after="0" w:line="240" w:lineRule="auto"/>
        <w:jc w:val="center"/>
        <w:outlineLvl w:val="0"/>
        <w:rPr>
          <w:rFonts w:eastAsia="Calibri"/>
          <w:b/>
          <w:caps/>
          <w:snapToGrid w:val="0"/>
          <w:sz w:val="28"/>
          <w:szCs w:val="24"/>
          <w:lang w:val="en-US" w:eastAsia="en-US"/>
        </w:rPr>
      </w:pPr>
    </w:p>
    <w:p w:rsidR="000846FD" w:rsidRPr="000846FD" w:rsidRDefault="000846FD" w:rsidP="000846FD">
      <w:pPr>
        <w:widowControl w:val="0"/>
        <w:spacing w:after="0" w:line="240" w:lineRule="auto"/>
        <w:jc w:val="center"/>
        <w:outlineLvl w:val="0"/>
        <w:rPr>
          <w:rFonts w:eastAsia="Times New Roman"/>
          <w:b/>
          <w:caps/>
          <w:snapToGrid w:val="0"/>
          <w:sz w:val="28"/>
          <w:szCs w:val="24"/>
          <w:lang w:val="en-US" w:eastAsia="en-US"/>
        </w:rPr>
      </w:pPr>
      <w:r w:rsidRPr="000846FD">
        <w:rPr>
          <w:rFonts w:eastAsia="Times New Roman"/>
          <w:b/>
          <w:caps/>
          <w:snapToGrid w:val="0"/>
          <w:sz w:val="28"/>
          <w:szCs w:val="24"/>
          <w:lang w:val="en-US" w:eastAsia="en-US"/>
        </w:rPr>
        <w:t>dissipative bracing and base isolation design solutions for new prefab r/c structures</w:t>
      </w:r>
    </w:p>
    <w:p w:rsidR="000846FD" w:rsidRPr="000846FD" w:rsidRDefault="000846FD" w:rsidP="000846FD">
      <w:pPr>
        <w:widowControl w:val="0"/>
        <w:suppressAutoHyphens/>
        <w:spacing w:after="0" w:line="240" w:lineRule="auto"/>
        <w:jc w:val="both"/>
        <w:rPr>
          <w:rFonts w:eastAsia="Times New Roman"/>
          <w:snapToGrid w:val="0"/>
          <w:szCs w:val="24"/>
          <w:lang w:val="en-US" w:eastAsia="en-US"/>
        </w:rPr>
      </w:pPr>
    </w:p>
    <w:p w:rsidR="000846FD" w:rsidRPr="000846FD" w:rsidRDefault="000846FD" w:rsidP="000846FD">
      <w:pPr>
        <w:widowControl w:val="0"/>
        <w:spacing w:after="0" w:line="240" w:lineRule="auto"/>
        <w:jc w:val="both"/>
        <w:rPr>
          <w:rFonts w:eastAsia="Times New Roman"/>
          <w:b/>
          <w:snapToGrid w:val="0"/>
          <w:sz w:val="28"/>
          <w:szCs w:val="28"/>
          <w:lang w:val="en-US" w:eastAsia="en-US"/>
        </w:rPr>
      </w:pPr>
      <w:r w:rsidRPr="000846FD">
        <w:rPr>
          <w:rFonts w:eastAsia="Times New Roman"/>
          <w:b/>
          <w:snapToGrid w:val="0"/>
          <w:sz w:val="28"/>
          <w:szCs w:val="28"/>
          <w:lang w:val="en-US" w:eastAsia="en-US"/>
        </w:rPr>
        <w:t xml:space="preserve">DOI </w:t>
      </w:r>
      <w:r w:rsidR="00AB14C3">
        <w:rPr>
          <w:rFonts w:eastAsia="Times New Roman"/>
          <w:b/>
          <w:snapToGrid w:val="0"/>
          <w:color w:val="333333"/>
          <w:sz w:val="28"/>
          <w:szCs w:val="28"/>
          <w:shd w:val="clear" w:color="auto" w:fill="FFFFFF"/>
          <w:lang w:val="en-US" w:eastAsia="en-US"/>
        </w:rPr>
        <w:t>10.37153</w:t>
      </w:r>
      <w:r w:rsidRPr="000846FD">
        <w:rPr>
          <w:rFonts w:eastAsia="Times New Roman"/>
          <w:b/>
          <w:snapToGrid w:val="0"/>
          <w:color w:val="333333"/>
          <w:sz w:val="28"/>
          <w:szCs w:val="28"/>
          <w:shd w:val="clear" w:color="auto" w:fill="FFFFFF"/>
          <w:lang w:val="en-US" w:eastAsia="en-US"/>
        </w:rPr>
        <w:t>/2686-7974-2019-16-737-7</w:t>
      </w:r>
      <w:r w:rsidR="00F57981">
        <w:rPr>
          <w:rFonts w:eastAsia="Times New Roman"/>
          <w:b/>
          <w:snapToGrid w:val="0"/>
          <w:color w:val="333333"/>
          <w:sz w:val="28"/>
          <w:szCs w:val="28"/>
          <w:shd w:val="clear" w:color="auto" w:fill="FFFFFF"/>
          <w:lang w:val="en-US" w:eastAsia="en-US"/>
        </w:rPr>
        <w:t>4</w:t>
      </w:r>
      <w:r w:rsidRPr="000846FD">
        <w:rPr>
          <w:rFonts w:eastAsia="Times New Roman"/>
          <w:b/>
          <w:snapToGrid w:val="0"/>
          <w:color w:val="333333"/>
          <w:sz w:val="28"/>
          <w:szCs w:val="28"/>
          <w:shd w:val="clear" w:color="auto" w:fill="FFFFFF"/>
          <w:lang w:val="en-US" w:eastAsia="en-US"/>
        </w:rPr>
        <w:t>8</w:t>
      </w:r>
    </w:p>
    <w:p w:rsidR="000846FD" w:rsidRPr="000846FD" w:rsidRDefault="000846FD" w:rsidP="000846FD">
      <w:pPr>
        <w:widowControl w:val="0"/>
        <w:suppressAutoHyphens/>
        <w:spacing w:after="0" w:line="240" w:lineRule="auto"/>
        <w:jc w:val="both"/>
        <w:rPr>
          <w:rFonts w:eastAsia="Times New Roman"/>
          <w:snapToGrid w:val="0"/>
          <w:szCs w:val="24"/>
          <w:lang w:val="en-US" w:eastAsia="en-US"/>
        </w:rPr>
      </w:pPr>
    </w:p>
    <w:p w:rsidR="000846FD" w:rsidRPr="000846FD" w:rsidRDefault="000846FD" w:rsidP="000846FD">
      <w:pPr>
        <w:widowControl w:val="0"/>
        <w:suppressAutoHyphens/>
        <w:spacing w:after="0" w:line="240" w:lineRule="auto"/>
        <w:jc w:val="both"/>
        <w:rPr>
          <w:rFonts w:eastAsia="Times New Roman"/>
          <w:snapToGrid w:val="0"/>
          <w:szCs w:val="24"/>
          <w:lang w:val="en-US" w:eastAsia="en-US"/>
        </w:rPr>
      </w:pPr>
    </w:p>
    <w:p w:rsidR="000846FD" w:rsidRPr="000846FD" w:rsidRDefault="000846FD" w:rsidP="000846FD">
      <w:pPr>
        <w:widowControl w:val="0"/>
        <w:suppressAutoHyphens/>
        <w:spacing w:after="0" w:line="240" w:lineRule="auto"/>
        <w:jc w:val="center"/>
        <w:rPr>
          <w:rFonts w:eastAsia="Times New Roman"/>
          <w:szCs w:val="24"/>
          <w:lang w:val="en-US" w:eastAsia="en-US"/>
        </w:rPr>
      </w:pPr>
      <w:r w:rsidRPr="000846FD">
        <w:rPr>
          <w:rFonts w:eastAsia="Times New Roman"/>
          <w:szCs w:val="24"/>
          <w:lang w:val="en-US" w:eastAsia="en-US"/>
        </w:rPr>
        <w:t>Stefano SORACE</w:t>
      </w:r>
      <w:r w:rsidRPr="000846FD">
        <w:rPr>
          <w:rFonts w:eastAsia="Times New Roman"/>
          <w:szCs w:val="24"/>
          <w:vertAlign w:val="superscript"/>
          <w:lang w:val="en-US" w:eastAsia="en-US"/>
        </w:rPr>
        <w:footnoteReference w:id="1"/>
      </w:r>
      <w:r w:rsidRPr="000846FD">
        <w:rPr>
          <w:rFonts w:eastAsia="Times New Roman"/>
          <w:szCs w:val="24"/>
          <w:lang w:val="en-US" w:eastAsia="en-US"/>
        </w:rPr>
        <w:t>, Gloria TERENZI</w:t>
      </w:r>
      <w:r w:rsidRPr="000846FD">
        <w:rPr>
          <w:rFonts w:eastAsia="Times New Roman"/>
          <w:szCs w:val="24"/>
          <w:vertAlign w:val="superscript"/>
          <w:lang w:val="en-US" w:eastAsia="en-US"/>
        </w:rPr>
        <w:footnoteReference w:id="2"/>
      </w:r>
    </w:p>
    <w:p w:rsidR="000846FD" w:rsidRPr="000846FD" w:rsidRDefault="000846FD" w:rsidP="000846FD">
      <w:pPr>
        <w:widowControl w:val="0"/>
        <w:tabs>
          <w:tab w:val="left" w:pos="-720"/>
        </w:tabs>
        <w:suppressAutoHyphens/>
        <w:spacing w:after="0" w:line="240" w:lineRule="auto"/>
        <w:jc w:val="both"/>
        <w:rPr>
          <w:rFonts w:eastAsia="Times New Roman"/>
          <w:snapToGrid w:val="0"/>
          <w:szCs w:val="24"/>
          <w:lang w:val="en-US" w:eastAsia="en-US"/>
        </w:rPr>
      </w:pPr>
    </w:p>
    <w:p w:rsidR="000846FD" w:rsidRPr="000846FD" w:rsidRDefault="000846FD" w:rsidP="000846FD">
      <w:pPr>
        <w:widowControl w:val="0"/>
        <w:tabs>
          <w:tab w:val="left" w:pos="-720"/>
        </w:tabs>
        <w:suppressAutoHyphens/>
        <w:spacing w:after="0" w:line="240" w:lineRule="auto"/>
        <w:jc w:val="both"/>
        <w:rPr>
          <w:rFonts w:eastAsia="Times New Roman"/>
          <w:snapToGrid w:val="0"/>
          <w:szCs w:val="24"/>
          <w:lang w:val="en-US" w:eastAsia="en-US"/>
        </w:rPr>
      </w:pPr>
    </w:p>
    <w:p w:rsidR="000846FD" w:rsidRPr="000846FD" w:rsidRDefault="000846FD" w:rsidP="000846FD">
      <w:pPr>
        <w:widowControl w:val="0"/>
        <w:spacing w:after="0" w:line="240" w:lineRule="auto"/>
        <w:jc w:val="center"/>
        <w:outlineLvl w:val="0"/>
        <w:rPr>
          <w:rFonts w:eastAsia="Times New Roman"/>
          <w:b/>
          <w:caps/>
          <w:snapToGrid w:val="0"/>
          <w:kern w:val="28"/>
          <w:szCs w:val="24"/>
          <w:lang w:val="en-US" w:eastAsia="en-US"/>
        </w:rPr>
      </w:pPr>
      <w:r w:rsidRPr="000846FD">
        <w:rPr>
          <w:rFonts w:eastAsia="Times New Roman"/>
          <w:b/>
          <w:caps/>
          <w:snapToGrid w:val="0"/>
          <w:kern w:val="28"/>
          <w:szCs w:val="24"/>
          <w:lang w:val="en-US" w:eastAsia="en-US"/>
        </w:rPr>
        <w:t>ABSTRACT</w:t>
      </w:r>
    </w:p>
    <w:p w:rsidR="000846FD" w:rsidRPr="000846FD" w:rsidRDefault="000846FD" w:rsidP="000846FD">
      <w:pPr>
        <w:widowControl w:val="0"/>
        <w:suppressAutoHyphens/>
        <w:spacing w:after="0" w:line="240" w:lineRule="auto"/>
        <w:jc w:val="both"/>
        <w:rPr>
          <w:rFonts w:eastAsia="Times New Roman"/>
          <w:sz w:val="20"/>
          <w:szCs w:val="24"/>
          <w:lang w:val="en-US" w:eastAsia="en-US"/>
        </w:rPr>
      </w:pPr>
    </w:p>
    <w:p w:rsidR="000846FD" w:rsidRPr="000846FD" w:rsidRDefault="000846FD" w:rsidP="000846FD">
      <w:pPr>
        <w:widowControl w:val="0"/>
        <w:suppressAutoHyphens/>
        <w:spacing w:after="0" w:line="240" w:lineRule="auto"/>
        <w:jc w:val="both"/>
        <w:rPr>
          <w:rFonts w:eastAsia="Times New Roman"/>
          <w:sz w:val="20"/>
          <w:szCs w:val="24"/>
          <w:lang w:val="en-US" w:eastAsia="en-US"/>
        </w:rPr>
      </w:pPr>
      <w:r w:rsidRPr="000846FD">
        <w:rPr>
          <w:rFonts w:eastAsia="Times New Roman"/>
          <w:sz w:val="20"/>
          <w:szCs w:val="24"/>
          <w:lang w:val="en-US" w:eastAsia="en-US"/>
        </w:rPr>
        <w:t>A study focused on the application of passive seismic control strategies to the field of new prefab R/C structures is presented herein. A benchmark building was designed to the purpose, assuming the typical geometrical layout and dimensions of single-hall industrial buildings in Italy, which are also similar to the characteristics of the same class of buildings in other countries of the Mediterranean area. The design was carried out in the three following hypotheses: (a) according to a traditional ductility-based approach; (b) by incorporating dissipative bracings, equipped with fluid viscous dampers; (c) by placing a seismic isolation system at the base, composed of a set of double curved surface sliders. The earthquake and performance levels assumed, their relevant limitations, the design criteria and the technical installations of the three solution are discussed in detail. A comparison of relevant sizes, seismic performance and costs is finally presented.</w:t>
      </w:r>
    </w:p>
    <w:p w:rsidR="000846FD" w:rsidRPr="000846FD" w:rsidRDefault="000846FD" w:rsidP="000846FD">
      <w:pPr>
        <w:widowControl w:val="0"/>
        <w:suppressAutoHyphens/>
        <w:spacing w:after="0" w:line="240" w:lineRule="auto"/>
        <w:jc w:val="both"/>
        <w:rPr>
          <w:rFonts w:eastAsia="Times New Roman"/>
          <w:sz w:val="20"/>
          <w:szCs w:val="24"/>
          <w:lang w:val="en-US" w:eastAsia="en-US"/>
        </w:rPr>
      </w:pPr>
    </w:p>
    <w:p w:rsidR="000846FD" w:rsidRPr="000846FD" w:rsidRDefault="000846FD" w:rsidP="000846FD">
      <w:pPr>
        <w:widowControl w:val="0"/>
        <w:suppressAutoHyphens/>
        <w:spacing w:after="0" w:line="240" w:lineRule="auto"/>
        <w:jc w:val="both"/>
        <w:rPr>
          <w:rFonts w:eastAsia="Times New Roman"/>
          <w:i/>
          <w:sz w:val="20"/>
          <w:szCs w:val="24"/>
          <w:lang w:val="en-US" w:eastAsia="en-US"/>
        </w:rPr>
      </w:pPr>
      <w:r w:rsidRPr="000846FD">
        <w:rPr>
          <w:rFonts w:eastAsia="Times New Roman"/>
          <w:i/>
          <w:sz w:val="20"/>
          <w:szCs w:val="24"/>
          <w:lang w:val="en-US" w:eastAsia="en-US"/>
        </w:rPr>
        <w:t>Keywords: Dissipative braces; Fluid viscous devices; Base isolation; Curved surface sliders; New prefab structures</w:t>
      </w:r>
    </w:p>
    <w:p w:rsidR="000846FD" w:rsidRPr="000846FD" w:rsidRDefault="000846FD" w:rsidP="000846FD">
      <w:pPr>
        <w:widowControl w:val="0"/>
        <w:spacing w:after="0" w:line="240" w:lineRule="auto"/>
        <w:jc w:val="both"/>
        <w:rPr>
          <w:rFonts w:eastAsia="Times New Roman"/>
          <w:snapToGrid w:val="0"/>
          <w:szCs w:val="24"/>
          <w:lang w:val="en-US" w:eastAsia="en-US"/>
        </w:rPr>
      </w:pPr>
    </w:p>
    <w:p w:rsidR="000846FD" w:rsidRPr="000846FD" w:rsidRDefault="000846FD" w:rsidP="000846FD">
      <w:pPr>
        <w:widowControl w:val="0"/>
        <w:spacing w:after="0" w:line="240" w:lineRule="auto"/>
        <w:jc w:val="both"/>
        <w:rPr>
          <w:rFonts w:eastAsia="Times New Roman"/>
          <w:snapToGrid w:val="0"/>
          <w:szCs w:val="24"/>
          <w:lang w:val="en-US" w:eastAsia="en-US"/>
        </w:rPr>
      </w:pPr>
    </w:p>
    <w:p w:rsidR="000846FD" w:rsidRPr="000846FD" w:rsidRDefault="000846FD" w:rsidP="000846FD">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0846FD">
        <w:rPr>
          <w:rFonts w:eastAsia="Times New Roman"/>
          <w:b/>
          <w:caps/>
          <w:snapToGrid w:val="0"/>
          <w:szCs w:val="24"/>
          <w:lang w:val="en-US" w:eastAsia="en-US"/>
        </w:rPr>
        <w:t xml:space="preserve">1. INTRODUCTION </w:t>
      </w:r>
    </w:p>
    <w:p w:rsidR="000846FD" w:rsidRPr="000846FD" w:rsidRDefault="000846FD" w:rsidP="000846FD">
      <w:pPr>
        <w:widowControl w:val="0"/>
        <w:spacing w:after="0" w:line="240" w:lineRule="auto"/>
        <w:jc w:val="both"/>
        <w:rPr>
          <w:rFonts w:eastAsia="Times New Roman"/>
          <w:snapToGrid w:val="0"/>
          <w:szCs w:val="24"/>
          <w:lang w:val="en-US" w:eastAsia="en-US"/>
        </w:rPr>
      </w:pPr>
    </w:p>
    <w:p w:rsidR="000846FD" w:rsidRPr="000846FD" w:rsidRDefault="000846FD" w:rsidP="000846FD">
      <w:pPr>
        <w:widowControl w:val="0"/>
        <w:spacing w:after="0" w:line="240" w:lineRule="auto"/>
        <w:jc w:val="both"/>
        <w:rPr>
          <w:rFonts w:eastAsia="Times New Roman"/>
          <w:bCs/>
          <w:snapToGrid w:val="0"/>
          <w:szCs w:val="24"/>
          <w:lang w:val="en-GB" w:eastAsia="en-US"/>
        </w:rPr>
      </w:pPr>
      <w:r w:rsidRPr="000846FD">
        <w:rPr>
          <w:rFonts w:eastAsia="Times New Roman"/>
          <w:bCs/>
          <w:snapToGrid w:val="0"/>
          <w:szCs w:val="24"/>
          <w:lang w:val="en-GB" w:eastAsia="en-US"/>
        </w:rPr>
        <w:t xml:space="preserve">The traditional ductility-based anti-seismic design of prefab reinforced concrete (R/C) buildings implies remarkable plastic demand on columns, as well as severe distortions in the connections of structural and non-structural members, for input motions scaled at the basic design earthquake (BDE) normative level. This causes considerable economic losses, due to the damage suffered by the buildings and the prolonged interruption of the activities carried out inside them, especially when their use is of industrial, manufacturing or commercial type. In the case of </w:t>
      </w:r>
      <w:r w:rsidRPr="000846FD">
        <w:rPr>
          <w:rFonts w:eastAsia="Times New Roman"/>
          <w:snapToGrid w:val="0"/>
          <w:szCs w:val="24"/>
          <w:lang w:val="en-GB" w:eastAsia="en-US"/>
        </w:rPr>
        <w:t xml:space="preserve">strategic </w:t>
      </w:r>
      <w:r w:rsidRPr="000846FD">
        <w:rPr>
          <w:rFonts w:eastAsia="Times New Roman"/>
          <w:bCs/>
          <w:snapToGrid w:val="0"/>
          <w:szCs w:val="24"/>
          <w:lang w:val="en-GB" w:eastAsia="en-US"/>
        </w:rPr>
        <w:t>prefab buildings, such as fire stations, civil defence headquarters, hospitals, railway, airport and port terminals, seismic damage to structural members should be prevented, and non-structural damage limited to the minimum, because the attainment of the Immediate Occupancy (IO) performance level is normally requested up to the BDE. As a consequence, if a conventional design approach is adopted, the resulting size of all members, and particularly of columns and the connecting links of structural elements (roof purlins and tiles, girders, beams, stairs, foundations), as well as of non-structural components (cladding and internal panels, travelling cranes, gutters, plants), tend to grow significantly.</w:t>
      </w:r>
    </w:p>
    <w:p w:rsidR="000846FD" w:rsidRPr="000846FD" w:rsidRDefault="000846FD" w:rsidP="000846FD">
      <w:pPr>
        <w:widowControl w:val="0"/>
        <w:spacing w:after="0" w:line="240" w:lineRule="auto"/>
        <w:jc w:val="both"/>
        <w:rPr>
          <w:rFonts w:eastAsia="Times New Roman"/>
          <w:bCs/>
          <w:snapToGrid w:val="0"/>
          <w:szCs w:val="24"/>
          <w:lang w:val="en-GB" w:eastAsia="en-US"/>
        </w:rPr>
      </w:pPr>
      <w:r w:rsidRPr="000846FD">
        <w:rPr>
          <w:rFonts w:eastAsia="Times New Roman"/>
          <w:bCs/>
          <w:snapToGrid w:val="0"/>
          <w:szCs w:val="24"/>
          <w:lang w:val="en-GB" w:eastAsia="en-US"/>
        </w:rPr>
        <w:t xml:space="preserve">A substantial performance improvement for ordinary prefab buildings, aimed at preventing post-quake interruptions in use for moderate seismic events, as well as a remarkable limitation of member size for strategic structures when targeting a IO-BDE design objective, can be attained by incorporating advanced motion control-based design solutions, based on the dual concepts of supplemental energy dissipation or seismic isolation. Both design strategies have been applied to the seismic retrofit of existing prefab buildings, especially after that earthquakes severely damaged large stocks of these buildings over the last decade. At the </w:t>
      </w:r>
      <w:r w:rsidRPr="000846FD">
        <w:rPr>
          <w:rFonts w:eastAsia="Times New Roman"/>
          <w:bCs/>
          <w:snapToGrid w:val="0"/>
          <w:szCs w:val="24"/>
          <w:lang w:val="en-GB" w:eastAsia="en-US"/>
        </w:rPr>
        <w:lastRenderedPageBreak/>
        <w:t>same time, very few real (Antonucci et al. 2009) or simulated applications (Martinelli and Mulas 2010, Dal Lago et al. 2018) are reported for new buildings, limitedly to dissipation technologies.</w:t>
      </w:r>
    </w:p>
    <w:p w:rsidR="000846FD" w:rsidRPr="000846FD" w:rsidRDefault="000846FD" w:rsidP="000846FD">
      <w:pPr>
        <w:widowControl w:val="0"/>
        <w:spacing w:after="0" w:line="240" w:lineRule="auto"/>
        <w:jc w:val="both"/>
        <w:rPr>
          <w:rFonts w:eastAsia="Times New Roman"/>
          <w:bCs/>
          <w:snapToGrid w:val="0"/>
          <w:szCs w:val="24"/>
          <w:lang w:val="en-GB" w:eastAsia="en-US"/>
        </w:rPr>
      </w:pPr>
      <w:r w:rsidRPr="000846FD">
        <w:rPr>
          <w:rFonts w:eastAsia="Times New Roman"/>
          <w:bCs/>
          <w:snapToGrid w:val="0"/>
          <w:szCs w:val="24"/>
          <w:lang w:val="en-GB" w:eastAsia="en-US"/>
        </w:rPr>
        <w:t xml:space="preserve">In view of this, a study was recently undertaken by the authors, aimed at extending to the field of new prefab R/C buildings the application of advanced seismic protection strategies, addressed at previous steps of the same research line to the new design and retrofit of R/C and steel structures (Sorace and Terenzi 2008, 2014a,b), retrofit of prefab R/C structures (Sorace and Terenzi 2017) and special infrastructures (Sorace et al. 2016). </w:t>
      </w:r>
      <w:r w:rsidRPr="000846FD">
        <w:rPr>
          <w:rFonts w:eastAsia="Times New Roman"/>
          <w:snapToGrid w:val="0"/>
          <w:szCs w:val="24"/>
          <w:lang w:val="en-GB" w:eastAsia="en-US"/>
        </w:rPr>
        <w:t xml:space="preserve">A benchmark building was specially designed to this aim, by assuming the typical geometrical layout and dimensions of single hall-type R/C prefab buildings in Italy, which are also similar to the characteristics of the same class of buildings in other Mediterranean countries. The design was carried out in the three following hypotheses: (a) according to a traditional </w:t>
      </w:r>
      <w:r w:rsidRPr="000846FD">
        <w:rPr>
          <w:rFonts w:eastAsia="Times New Roman"/>
          <w:bCs/>
          <w:snapToGrid w:val="0"/>
          <w:szCs w:val="24"/>
          <w:lang w:val="en-GB" w:eastAsia="en-US"/>
        </w:rPr>
        <w:t xml:space="preserve">ductility-based normative approach; (b) incorporating dissipative bracings, equipped with fluid viscous dampers; (c) placing a seismic isolation system at the base, composed of a set of double curved surface sliders. </w:t>
      </w:r>
    </w:p>
    <w:p w:rsidR="000846FD" w:rsidRPr="000846FD" w:rsidRDefault="000846FD" w:rsidP="000846FD">
      <w:pPr>
        <w:widowControl w:val="0"/>
        <w:spacing w:after="0" w:line="240" w:lineRule="auto"/>
        <w:jc w:val="both"/>
        <w:rPr>
          <w:rFonts w:eastAsia="Times New Roman"/>
          <w:snapToGrid w:val="0"/>
          <w:szCs w:val="24"/>
          <w:lang w:val="en-US" w:eastAsia="en-US"/>
        </w:rPr>
      </w:pPr>
      <w:r w:rsidRPr="000846FD">
        <w:rPr>
          <w:rFonts w:eastAsia="Times New Roman"/>
          <w:snapToGrid w:val="0"/>
          <w:szCs w:val="24"/>
          <w:lang w:val="en-US" w:eastAsia="en-US"/>
        </w:rPr>
        <w:t>The earthquake and performance levels assumed, their relevant limitations, the sizing criteria and the technical specifications adopted for the three design solutions, as well as a comparison of the final member sizes, their seismic response capacities and corresponding costs, are detailed in the following Sections.</w:t>
      </w:r>
    </w:p>
    <w:p w:rsidR="000846FD" w:rsidRPr="000846FD" w:rsidRDefault="000846FD" w:rsidP="000846FD">
      <w:pPr>
        <w:widowControl w:val="0"/>
        <w:spacing w:after="0" w:line="240" w:lineRule="auto"/>
        <w:jc w:val="both"/>
        <w:rPr>
          <w:rFonts w:eastAsia="Times New Roman"/>
          <w:snapToGrid w:val="0"/>
          <w:szCs w:val="24"/>
          <w:lang w:val="en-US" w:eastAsia="en-US"/>
        </w:rPr>
      </w:pPr>
    </w:p>
    <w:p w:rsidR="000846FD" w:rsidRPr="000846FD" w:rsidRDefault="000846FD" w:rsidP="000846FD">
      <w:pPr>
        <w:widowControl w:val="0"/>
        <w:spacing w:after="0" w:line="240" w:lineRule="auto"/>
        <w:jc w:val="both"/>
        <w:rPr>
          <w:rFonts w:eastAsia="Times New Roman"/>
          <w:snapToGrid w:val="0"/>
          <w:szCs w:val="24"/>
          <w:lang w:val="en-US" w:eastAsia="en-US"/>
        </w:rPr>
      </w:pPr>
    </w:p>
    <w:p w:rsidR="000846FD" w:rsidRPr="000846FD" w:rsidRDefault="000846FD" w:rsidP="000846FD">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0846FD">
        <w:rPr>
          <w:rFonts w:eastAsia="Times New Roman"/>
          <w:b/>
          <w:caps/>
          <w:snapToGrid w:val="0"/>
          <w:szCs w:val="24"/>
          <w:lang w:val="en-US" w:eastAsia="en-US"/>
        </w:rPr>
        <w:t xml:space="preserve">2. </w:t>
      </w:r>
      <w:r w:rsidRPr="000846FD">
        <w:rPr>
          <w:rFonts w:eastAsia="Times New Roman"/>
          <w:b/>
          <w:bCs/>
          <w:caps/>
          <w:snapToGrid w:val="0"/>
          <w:szCs w:val="24"/>
          <w:lang w:val="en-US" w:eastAsia="en-US"/>
        </w:rPr>
        <w:t>Geometrical and structural characteristics of the building</w:t>
      </w:r>
    </w:p>
    <w:p w:rsidR="000846FD" w:rsidRPr="000846FD" w:rsidRDefault="000846FD" w:rsidP="000846FD">
      <w:pPr>
        <w:widowControl w:val="0"/>
        <w:spacing w:after="0" w:line="240" w:lineRule="auto"/>
        <w:jc w:val="both"/>
        <w:rPr>
          <w:rFonts w:eastAsia="Times New Roman"/>
          <w:snapToGrid w:val="0"/>
          <w:szCs w:val="24"/>
          <w:lang w:val="en-US" w:eastAsia="en-US"/>
        </w:rPr>
      </w:pPr>
    </w:p>
    <w:p w:rsidR="000846FD" w:rsidRPr="000846FD" w:rsidRDefault="000846FD" w:rsidP="000846FD">
      <w:pPr>
        <w:widowControl w:val="0"/>
        <w:spacing w:after="0" w:line="240" w:lineRule="auto"/>
        <w:jc w:val="both"/>
        <w:rPr>
          <w:rFonts w:eastAsia="Times New Roman"/>
          <w:snapToGrid w:val="0"/>
          <w:szCs w:val="24"/>
          <w:lang w:val="en-US" w:eastAsia="en-US"/>
        </w:rPr>
      </w:pPr>
      <w:r w:rsidRPr="000846FD">
        <w:rPr>
          <w:rFonts w:eastAsia="Times New Roman"/>
          <w:snapToGrid w:val="0"/>
          <w:szCs w:val="24"/>
          <w:lang w:val="en-GB" w:eastAsia="en-US"/>
        </w:rPr>
        <w:t xml:space="preserve">The geometrical plan of the building, identical for the three design hypotheses, and a transversal cross section referred to the traditional design solution, are shown in Figure 1, where the reference X, Y and Z axes of the Cartesian coordinate system adopted in the analyses are also traced out. </w:t>
      </w:r>
    </w:p>
    <w:p w:rsidR="000846FD" w:rsidRPr="000846FD" w:rsidRDefault="000846FD" w:rsidP="000846FD">
      <w:pPr>
        <w:widowControl w:val="0"/>
        <w:spacing w:after="0" w:line="240" w:lineRule="auto"/>
        <w:jc w:val="both"/>
        <w:rPr>
          <w:rFonts w:eastAsia="Times New Roman"/>
          <w:snapToGrid w:val="0"/>
          <w:szCs w:val="24"/>
          <w:lang w:val="en-US"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r w:rsidRPr="000846FD">
        <w:rPr>
          <w:rFonts w:eastAsia="Times New Roman"/>
          <w:noProof/>
          <w:snapToGrid w:val="0"/>
          <w:szCs w:val="24"/>
        </w:rPr>
        <w:drawing>
          <wp:anchor distT="0" distB="0" distL="114300" distR="114300" simplePos="0" relativeHeight="251660288" behindDoc="1" locked="0" layoutInCell="1" allowOverlap="1" wp14:anchorId="0EE83139" wp14:editId="7CB4FE71">
            <wp:simplePos x="0" y="0"/>
            <wp:positionH relativeFrom="column">
              <wp:posOffset>3128010</wp:posOffset>
            </wp:positionH>
            <wp:positionV relativeFrom="paragraph">
              <wp:posOffset>114300</wp:posOffset>
            </wp:positionV>
            <wp:extent cx="3187700" cy="1549400"/>
            <wp:effectExtent l="1905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988" t="35208" r="19647" b="29115"/>
                    <a:stretch/>
                  </pic:blipFill>
                  <pic:spPr bwMode="auto">
                    <a:xfrm>
                      <a:off x="0" y="0"/>
                      <a:ext cx="3187700" cy="1549400"/>
                    </a:xfrm>
                    <a:prstGeom prst="rect">
                      <a:avLst/>
                    </a:prstGeom>
                    <a:noFill/>
                    <a:ln>
                      <a:noFill/>
                    </a:ln>
                    <a:extLst>
                      <a:ext uri="{53640926-AAD7-44D8-BBD7-CCE9431645EC}">
                        <a14:shadowObscured xmlns:a14="http://schemas.microsoft.com/office/drawing/2010/main"/>
                      </a:ext>
                    </a:extLst>
                  </pic:spPr>
                </pic:pic>
              </a:graphicData>
            </a:graphic>
          </wp:anchor>
        </w:drawing>
      </w:r>
      <w:r w:rsidRPr="000846FD">
        <w:rPr>
          <w:rFonts w:eastAsia="Times New Roman"/>
          <w:noProof/>
          <w:snapToGrid w:val="0"/>
          <w:szCs w:val="24"/>
        </w:rPr>
        <w:drawing>
          <wp:anchor distT="0" distB="0" distL="114300" distR="114300" simplePos="0" relativeHeight="251659264" behindDoc="0" locked="0" layoutInCell="1" allowOverlap="1" wp14:anchorId="469231BB" wp14:editId="718AB65C">
            <wp:simplePos x="0" y="0"/>
            <wp:positionH relativeFrom="column">
              <wp:posOffset>-116840</wp:posOffset>
            </wp:positionH>
            <wp:positionV relativeFrom="paragraph">
              <wp:posOffset>93345</wp:posOffset>
            </wp:positionV>
            <wp:extent cx="3282950" cy="1568450"/>
            <wp:effectExtent l="19050" t="0" r="0" b="0"/>
            <wp:wrapNone/>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614" t="7774" r="14594" b="44150"/>
                    <a:stretch/>
                  </pic:blipFill>
                  <pic:spPr bwMode="auto">
                    <a:xfrm>
                      <a:off x="0" y="0"/>
                      <a:ext cx="3282950" cy="1568450"/>
                    </a:xfrm>
                    <a:prstGeom prst="rect">
                      <a:avLst/>
                    </a:prstGeom>
                    <a:noFill/>
                    <a:ln>
                      <a:noFill/>
                    </a:ln>
                    <a:extLst>
                      <a:ext uri="{53640926-AAD7-44D8-BBD7-CCE9431645EC}">
                        <a14:shadowObscured xmlns:a14="http://schemas.microsoft.com/office/drawing/2010/main"/>
                      </a:ext>
                    </a:extLst>
                  </pic:spPr>
                </pic:pic>
              </a:graphicData>
            </a:graphic>
          </wp:anchor>
        </w:drawing>
      </w: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center"/>
        <w:rPr>
          <w:rFonts w:eastAsia="Times New Roman"/>
          <w:snapToGrid w:val="0"/>
          <w:sz w:val="20"/>
          <w:szCs w:val="24"/>
          <w:lang w:val="en-US" w:eastAsia="en-US"/>
        </w:rPr>
      </w:pPr>
      <w:r w:rsidRPr="000846FD">
        <w:rPr>
          <w:rFonts w:eastAsia="Times New Roman"/>
          <w:snapToGrid w:val="0"/>
          <w:sz w:val="20"/>
          <w:szCs w:val="24"/>
          <w:lang w:val="en-US" w:eastAsia="en-US"/>
        </w:rPr>
        <w:t xml:space="preserve">Figure 1. </w:t>
      </w:r>
      <w:r w:rsidRPr="000846FD">
        <w:rPr>
          <w:rFonts w:eastAsia="Times New Roman"/>
          <w:snapToGrid w:val="0"/>
          <w:sz w:val="20"/>
          <w:szCs w:val="24"/>
          <w:lang w:val="en-GB" w:eastAsia="en-US"/>
        </w:rPr>
        <w:t>Plan and transversal cross section of the building</w:t>
      </w:r>
      <w:r w:rsidRPr="000846FD">
        <w:rPr>
          <w:rFonts w:eastAsia="Times New Roman"/>
          <w:snapToGrid w:val="0"/>
          <w:sz w:val="20"/>
          <w:szCs w:val="24"/>
          <w:lang w:val="en-US" w:eastAsia="en-US"/>
        </w:rPr>
        <w:t xml:space="preserve"> (dimensions in meters)</w:t>
      </w: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bCs/>
          <w:iCs/>
          <w:snapToGrid w:val="0"/>
          <w:szCs w:val="24"/>
          <w:lang w:val="en-US" w:eastAsia="en-US"/>
        </w:rPr>
      </w:pPr>
      <w:r w:rsidRPr="000846FD">
        <w:rPr>
          <w:rFonts w:eastAsia="Times New Roman"/>
          <w:snapToGrid w:val="0"/>
          <w:szCs w:val="24"/>
          <w:lang w:val="en-GB" w:eastAsia="en-US"/>
        </w:rPr>
        <w:t xml:space="preserve">As highlighted in the drawing of Figure 1, the plan is rectangular, with external sides of 61 m in longitudinal direction, parallel to X, and 25 m in transversal direction, parallel to Y. As mentioned above, the structure is single-hall type, constituted by 14 R/C prefab columns, </w:t>
      </w:r>
      <w:r w:rsidRPr="000846FD">
        <w:rPr>
          <w:rFonts w:eastAsia="Times New Roman"/>
          <w:bCs/>
          <w:iCs/>
          <w:snapToGrid w:val="0"/>
          <w:szCs w:val="24"/>
          <w:lang w:val="en-GB" w:eastAsia="en-US"/>
        </w:rPr>
        <w:t>numbered</w:t>
      </w:r>
      <w:r w:rsidRPr="000846FD">
        <w:rPr>
          <w:rFonts w:eastAsia="Times New Roman"/>
          <w:snapToGrid w:val="0"/>
          <w:szCs w:val="24"/>
          <w:lang w:val="en-GB" w:eastAsia="en-US"/>
        </w:rPr>
        <w:t xml:space="preserve"> C1 through C14 </w:t>
      </w:r>
      <w:r w:rsidRPr="000846FD">
        <w:rPr>
          <w:rFonts w:eastAsia="Times New Roman"/>
          <w:bCs/>
          <w:iCs/>
          <w:snapToGrid w:val="0"/>
          <w:szCs w:val="24"/>
          <w:lang w:val="en-GB" w:eastAsia="en-US"/>
        </w:rPr>
        <w:t>in Figure 1, and 7</w:t>
      </w:r>
      <w:r w:rsidRPr="000846FD">
        <w:rPr>
          <w:rFonts w:eastAsia="Times New Roman"/>
          <w:snapToGrid w:val="0"/>
          <w:szCs w:val="24"/>
          <w:lang w:val="en-GB" w:eastAsia="en-US"/>
        </w:rPr>
        <w:t xml:space="preserve"> triangle-shaped pre-stressed prefab R/C girders, with cross section base of 400 mm and height varying from 1020 mm to 2270 mm. </w:t>
      </w:r>
      <w:r w:rsidRPr="000846FD">
        <w:rPr>
          <w:rFonts w:eastAsia="Times New Roman"/>
          <w:bCs/>
          <w:iCs/>
          <w:snapToGrid w:val="0"/>
          <w:szCs w:val="24"/>
          <w:lang w:val="en-US" w:eastAsia="en-US"/>
        </w:rPr>
        <w:t xml:space="preserve">The column alignments are placed at a mutual distance of 10 m. The height of the roof top from the ground level is equal to 11.4 m. The roof is made of a set of pre-stressed R/C </w:t>
      </w:r>
      <w:r w:rsidRPr="000846FD">
        <w:rPr>
          <w:rFonts w:eastAsia="Times New Roman"/>
          <w:snapToGrid w:val="0"/>
          <w:szCs w:val="24"/>
          <w:lang w:val="en-US" w:eastAsia="en-US"/>
        </w:rPr>
        <w:t>purlins</w:t>
      </w:r>
      <w:r w:rsidRPr="000846FD">
        <w:rPr>
          <w:rFonts w:eastAsia="Times New Roman"/>
          <w:bCs/>
          <w:iCs/>
          <w:snapToGrid w:val="0"/>
          <w:szCs w:val="24"/>
          <w:lang w:val="en-US" w:eastAsia="en-US"/>
        </w:rPr>
        <w:t xml:space="preserve"> with 400 mm high “π”-shaped section, composed of two 320 mm high webs, 100 mm wide at the bottom and 110 mm wide on top, and a 80 mm thick upper slab. An additional 50 mm thick upper R/C slab is cast on-site, so as to </w:t>
      </w:r>
      <w:r w:rsidRPr="000846FD">
        <w:rPr>
          <w:rFonts w:eastAsia="Times New Roman"/>
          <w:bCs/>
          <w:iCs/>
          <w:snapToGrid w:val="0"/>
          <w:szCs w:val="24"/>
          <w:lang w:val="en-GB" w:eastAsia="en-US"/>
        </w:rPr>
        <w:t xml:space="preserve">obtain a rigid diaphragm function of the roof with respect to wind and seismic forces. Purlins are fastened to the supporting girders by means of bolted steel joints. V channel-type prefab beams connect the top sections of the columns in X direction on both sides of the building. Purlins, girders and longitudinal V beams are mutually adopted, with same dimensions and reinforcement details, for the three design solutions, as they are independent from the specific seismic design strategy selected for the vertical structure. </w:t>
      </w:r>
      <w:r w:rsidRPr="000846FD">
        <w:rPr>
          <w:rFonts w:eastAsia="Times New Roman"/>
          <w:bCs/>
          <w:iCs/>
          <w:snapToGrid w:val="0"/>
          <w:szCs w:val="24"/>
          <w:lang w:val="en-US" w:eastAsia="en-US"/>
        </w:rPr>
        <w:t xml:space="preserve">Each column includes a corbel supporting a longitudinal continuous steel beam bearing the overhead travelling crane, with maximum allowable load of 160 kN. The cladding panels are constituted by 200 mm thick prefab R/C slabs incorporating a 100 mm thick insulation sheet. The panels are joined to the columns by patented steel boxes, with pinned-type slotted connections capable of accommodating maximum horizontal drifts equal to 2.75% of the panel height, </w:t>
      </w:r>
      <w:r w:rsidRPr="000846FD">
        <w:rPr>
          <w:rFonts w:eastAsia="Times New Roman"/>
          <w:snapToGrid w:val="0"/>
          <w:szCs w:val="24"/>
          <w:lang w:val="en-GB" w:eastAsia="en-US"/>
        </w:rPr>
        <w:t xml:space="preserve">at their horizontal ends; </w:t>
      </w:r>
      <w:r w:rsidRPr="000846FD">
        <w:rPr>
          <w:rFonts w:eastAsia="Times New Roman"/>
          <w:bCs/>
          <w:iCs/>
          <w:snapToGrid w:val="0"/>
          <w:szCs w:val="24"/>
          <w:lang w:val="en-US" w:eastAsia="en-US"/>
        </w:rPr>
        <w:t xml:space="preserve">and </w:t>
      </w:r>
      <w:r w:rsidRPr="000846FD">
        <w:rPr>
          <w:rFonts w:eastAsia="Times New Roman"/>
          <w:snapToGrid w:val="0"/>
          <w:szCs w:val="24"/>
          <w:lang w:val="en-GB" w:eastAsia="en-US"/>
        </w:rPr>
        <w:t>to a continuous R/C foot edge-beam, at their bottom end</w:t>
      </w:r>
      <w:r w:rsidRPr="000846FD">
        <w:rPr>
          <w:rFonts w:eastAsia="Times New Roman"/>
          <w:bCs/>
          <w:iCs/>
          <w:snapToGrid w:val="0"/>
          <w:szCs w:val="24"/>
          <w:lang w:val="en-US" w:eastAsia="en-US"/>
        </w:rPr>
        <w:t xml:space="preserve">. </w:t>
      </w:r>
      <w:r w:rsidRPr="000846FD">
        <w:rPr>
          <w:rFonts w:eastAsia="Times New Roman"/>
          <w:snapToGrid w:val="0"/>
          <w:szCs w:val="24"/>
          <w:lang w:val="en-GB" w:eastAsia="en-US"/>
        </w:rPr>
        <w:t xml:space="preserve">The pinned connections of the panels simply transfer their self-weight to the joined columns, but </w:t>
      </w:r>
      <w:r w:rsidRPr="000846FD">
        <w:rPr>
          <w:rFonts w:eastAsia="Times New Roman"/>
          <w:snapToGrid w:val="0"/>
          <w:szCs w:val="24"/>
          <w:lang w:val="en-GB" w:eastAsia="en-US"/>
        </w:rPr>
        <w:lastRenderedPageBreak/>
        <w:t>do not allow the panels to contribute to the lateral stiffness of the building. Consequently, the presence of the panels is simulated in the finite element analyses only in terms of dead loads and corresponding seismic inertial masses, with no structural interactions with the columns.</w:t>
      </w:r>
    </w:p>
    <w:p w:rsidR="000846FD" w:rsidRPr="000846FD" w:rsidRDefault="000846FD" w:rsidP="000846FD">
      <w:pPr>
        <w:widowControl w:val="0"/>
        <w:spacing w:after="0" w:line="240" w:lineRule="auto"/>
        <w:jc w:val="both"/>
        <w:rPr>
          <w:rFonts w:eastAsia="Times New Roman"/>
          <w:snapToGrid w:val="0"/>
          <w:szCs w:val="24"/>
          <w:lang w:val="en-US" w:eastAsia="en-US"/>
        </w:rPr>
      </w:pPr>
      <w:r w:rsidRPr="000846FD">
        <w:rPr>
          <w:rFonts w:eastAsia="Times New Roman"/>
          <w:bCs/>
          <w:iCs/>
          <w:snapToGrid w:val="0"/>
          <w:szCs w:val="24"/>
          <w:lang w:val="en-US" w:eastAsia="en-US"/>
        </w:rPr>
        <w:t xml:space="preserve">The dead plus live gravitational loads distributed on the girders are equal to 39 kN/m. Concrete used for the </w:t>
      </w:r>
      <w:r w:rsidRPr="000846FD">
        <w:rPr>
          <w:rFonts w:eastAsia="Times New Roman"/>
          <w:snapToGrid w:val="0"/>
          <w:szCs w:val="24"/>
          <w:lang w:val="en-US" w:eastAsia="en-US"/>
        </w:rPr>
        <w:t>prefabricated columns</w:t>
      </w:r>
      <w:r w:rsidRPr="000846FD">
        <w:rPr>
          <w:rFonts w:eastAsia="Times New Roman"/>
          <w:bCs/>
          <w:iCs/>
          <w:snapToGrid w:val="0"/>
          <w:szCs w:val="24"/>
          <w:lang w:val="en-US" w:eastAsia="en-US"/>
        </w:rPr>
        <w:t xml:space="preserve"> is class 45/55, with characteristic </w:t>
      </w:r>
      <w:r w:rsidRPr="000846FD">
        <w:rPr>
          <w:rFonts w:eastAsia="Times New Roman"/>
          <w:snapToGrid w:val="0"/>
          <w:szCs w:val="24"/>
          <w:lang w:val="en-US" w:eastAsia="en-US"/>
        </w:rPr>
        <w:t xml:space="preserve">compressive cylindrical strength, </w:t>
      </w:r>
      <w:r w:rsidRPr="000846FD">
        <w:rPr>
          <w:rFonts w:eastAsia="Times New Roman"/>
          <w:i/>
          <w:snapToGrid w:val="0"/>
          <w:szCs w:val="24"/>
          <w:lang w:val="en-US" w:eastAsia="en-US"/>
        </w:rPr>
        <w:t>f</w:t>
      </w:r>
      <w:r w:rsidRPr="000846FD">
        <w:rPr>
          <w:rFonts w:eastAsia="Times New Roman"/>
          <w:i/>
          <w:snapToGrid w:val="0"/>
          <w:szCs w:val="24"/>
          <w:vertAlign w:val="subscript"/>
          <w:lang w:val="en-US" w:eastAsia="en-US"/>
        </w:rPr>
        <w:t>ck</w:t>
      </w:r>
      <w:r w:rsidRPr="000846FD">
        <w:rPr>
          <w:rFonts w:eastAsia="Times New Roman"/>
          <w:snapToGrid w:val="0"/>
          <w:szCs w:val="24"/>
          <w:lang w:val="en-US" w:eastAsia="en-US"/>
        </w:rPr>
        <w:t xml:space="preserve">, equal to 45 MPa, and </w:t>
      </w:r>
      <w:r w:rsidRPr="000846FD">
        <w:rPr>
          <w:rFonts w:eastAsia="Times New Roman"/>
          <w:bCs/>
          <w:iCs/>
          <w:snapToGrid w:val="0"/>
          <w:szCs w:val="24"/>
          <w:lang w:val="en-US" w:eastAsia="en-US"/>
        </w:rPr>
        <w:t xml:space="preserve">characteristic </w:t>
      </w:r>
      <w:r w:rsidRPr="000846FD">
        <w:rPr>
          <w:rFonts w:eastAsia="Times New Roman"/>
          <w:snapToGrid w:val="0"/>
          <w:szCs w:val="24"/>
          <w:lang w:val="en-US" w:eastAsia="en-US"/>
        </w:rPr>
        <w:t xml:space="preserve">compressive cube strength, </w:t>
      </w:r>
      <w:r w:rsidRPr="000846FD">
        <w:rPr>
          <w:rFonts w:eastAsia="Times New Roman"/>
          <w:i/>
          <w:snapToGrid w:val="0"/>
          <w:szCs w:val="24"/>
          <w:lang w:val="en-US" w:eastAsia="en-US"/>
        </w:rPr>
        <w:t>f</w:t>
      </w:r>
      <w:r w:rsidRPr="000846FD">
        <w:rPr>
          <w:rFonts w:eastAsia="Times New Roman"/>
          <w:i/>
          <w:snapToGrid w:val="0"/>
          <w:szCs w:val="24"/>
          <w:vertAlign w:val="subscript"/>
          <w:lang w:val="en-US" w:eastAsia="en-US"/>
        </w:rPr>
        <w:t>ck,cub</w:t>
      </w:r>
      <w:r w:rsidRPr="000846FD">
        <w:rPr>
          <w:rFonts w:eastAsia="Times New Roman"/>
          <w:snapToGrid w:val="0"/>
          <w:szCs w:val="24"/>
          <w:lang w:val="en-US" w:eastAsia="en-US"/>
        </w:rPr>
        <w:t>, equal to 55 MPa; concrete for the on-site cast foundation plinths is class 32/40 (</w:t>
      </w:r>
      <w:r w:rsidRPr="000846FD">
        <w:rPr>
          <w:rFonts w:eastAsia="Times New Roman"/>
          <w:i/>
          <w:snapToGrid w:val="0"/>
          <w:szCs w:val="24"/>
          <w:lang w:val="en-US" w:eastAsia="en-US"/>
        </w:rPr>
        <w:t>f</w:t>
      </w:r>
      <w:r w:rsidRPr="000846FD">
        <w:rPr>
          <w:rFonts w:eastAsia="Times New Roman"/>
          <w:i/>
          <w:snapToGrid w:val="0"/>
          <w:szCs w:val="24"/>
          <w:vertAlign w:val="subscript"/>
          <w:lang w:val="en-US" w:eastAsia="en-US"/>
        </w:rPr>
        <w:t>ck</w:t>
      </w:r>
      <w:r w:rsidRPr="000846FD">
        <w:rPr>
          <w:rFonts w:eastAsia="Times New Roman"/>
          <w:snapToGrid w:val="0"/>
          <w:szCs w:val="24"/>
          <w:lang w:val="en-US" w:eastAsia="en-US"/>
        </w:rPr>
        <w:t xml:space="preserve">=32 MPa, </w:t>
      </w:r>
      <w:r w:rsidRPr="000846FD">
        <w:rPr>
          <w:rFonts w:eastAsia="Times New Roman"/>
          <w:i/>
          <w:snapToGrid w:val="0"/>
          <w:szCs w:val="24"/>
          <w:lang w:val="en-US" w:eastAsia="en-US"/>
        </w:rPr>
        <w:t>f</w:t>
      </w:r>
      <w:r w:rsidRPr="000846FD">
        <w:rPr>
          <w:rFonts w:eastAsia="Times New Roman"/>
          <w:i/>
          <w:snapToGrid w:val="0"/>
          <w:szCs w:val="24"/>
          <w:vertAlign w:val="subscript"/>
          <w:lang w:val="en-US" w:eastAsia="en-US"/>
        </w:rPr>
        <w:t>ck,cub</w:t>
      </w:r>
      <w:r w:rsidRPr="000846FD">
        <w:rPr>
          <w:rFonts w:eastAsia="Times New Roman"/>
          <w:snapToGrid w:val="0"/>
          <w:szCs w:val="24"/>
          <w:lang w:val="en-US" w:eastAsia="en-US"/>
        </w:rPr>
        <w:t>=40 MPa). S</w:t>
      </w:r>
      <w:r w:rsidRPr="000846FD">
        <w:rPr>
          <w:rFonts w:eastAsia="Times New Roman"/>
          <w:bCs/>
          <w:iCs/>
          <w:snapToGrid w:val="0"/>
          <w:szCs w:val="24"/>
          <w:lang w:val="en-US" w:eastAsia="en-US"/>
        </w:rPr>
        <w:t>teel is B450C type, with nominal yield stress,</w:t>
      </w:r>
      <w:r w:rsidRPr="000846FD">
        <w:rPr>
          <w:rFonts w:eastAsia="Times New Roman"/>
          <w:i/>
          <w:snapToGrid w:val="0"/>
          <w:szCs w:val="24"/>
          <w:lang w:val="en-US" w:eastAsia="en-US"/>
        </w:rPr>
        <w:t xml:space="preserve"> f</w:t>
      </w:r>
      <w:r w:rsidRPr="000846FD">
        <w:rPr>
          <w:rFonts w:eastAsia="Times New Roman"/>
          <w:i/>
          <w:snapToGrid w:val="0"/>
          <w:szCs w:val="24"/>
          <w:vertAlign w:val="subscript"/>
          <w:lang w:val="en-US" w:eastAsia="en-US"/>
        </w:rPr>
        <w:t>y,nom</w:t>
      </w:r>
      <w:r w:rsidRPr="000846FD">
        <w:rPr>
          <w:rFonts w:eastAsia="Times New Roman"/>
          <w:snapToGrid w:val="0"/>
          <w:szCs w:val="24"/>
          <w:lang w:val="en-US" w:eastAsia="en-US"/>
        </w:rPr>
        <w:t xml:space="preserve">, equal to 450 MPa, </w:t>
      </w:r>
      <w:r w:rsidRPr="000846FD">
        <w:rPr>
          <w:rFonts w:eastAsia="Times New Roman"/>
          <w:bCs/>
          <w:iCs/>
          <w:snapToGrid w:val="0"/>
          <w:szCs w:val="24"/>
          <w:lang w:val="en-US" w:eastAsia="en-US"/>
        </w:rPr>
        <w:t xml:space="preserve">and </w:t>
      </w:r>
      <w:r w:rsidRPr="000846FD">
        <w:rPr>
          <w:rFonts w:eastAsia="Times New Roman"/>
          <w:snapToGrid w:val="0"/>
          <w:szCs w:val="24"/>
          <w:lang w:val="en-US" w:eastAsia="en-US"/>
        </w:rPr>
        <w:t>strength</w:t>
      </w:r>
      <w:r w:rsidRPr="000846FD">
        <w:rPr>
          <w:rFonts w:eastAsia="Times New Roman"/>
          <w:bCs/>
          <w:iCs/>
          <w:snapToGrid w:val="0"/>
          <w:szCs w:val="24"/>
          <w:lang w:val="en-US" w:eastAsia="en-US"/>
        </w:rPr>
        <w:t xml:space="preserve">, </w:t>
      </w:r>
      <w:r w:rsidRPr="000846FD">
        <w:rPr>
          <w:rFonts w:eastAsia="Times New Roman"/>
          <w:i/>
          <w:snapToGrid w:val="0"/>
          <w:szCs w:val="24"/>
          <w:lang w:val="en-US" w:eastAsia="en-US"/>
        </w:rPr>
        <w:t>f</w:t>
      </w:r>
      <w:r w:rsidRPr="000846FD">
        <w:rPr>
          <w:rFonts w:eastAsia="Times New Roman"/>
          <w:i/>
          <w:snapToGrid w:val="0"/>
          <w:szCs w:val="24"/>
          <w:vertAlign w:val="subscript"/>
          <w:lang w:val="en-US" w:eastAsia="en-US"/>
        </w:rPr>
        <w:t>u,nom</w:t>
      </w:r>
      <w:r w:rsidRPr="000846FD">
        <w:rPr>
          <w:rFonts w:eastAsia="Times New Roman"/>
          <w:snapToGrid w:val="0"/>
          <w:szCs w:val="24"/>
          <w:lang w:val="en-US" w:eastAsia="en-US"/>
        </w:rPr>
        <w:t>, equal to 540 MPa. Concrete for the pre-stressed prefabricated girders and purlins is class 50/60 MPa (</w:t>
      </w:r>
      <w:r w:rsidRPr="000846FD">
        <w:rPr>
          <w:rFonts w:eastAsia="Times New Roman"/>
          <w:i/>
          <w:snapToGrid w:val="0"/>
          <w:szCs w:val="24"/>
          <w:lang w:val="en-US" w:eastAsia="en-US"/>
        </w:rPr>
        <w:t>f</w:t>
      </w:r>
      <w:r w:rsidRPr="000846FD">
        <w:rPr>
          <w:rFonts w:eastAsia="Times New Roman"/>
          <w:i/>
          <w:snapToGrid w:val="0"/>
          <w:szCs w:val="24"/>
          <w:vertAlign w:val="subscript"/>
          <w:lang w:val="en-US" w:eastAsia="en-US"/>
        </w:rPr>
        <w:t>ck</w:t>
      </w:r>
      <w:r w:rsidRPr="000846FD">
        <w:rPr>
          <w:rFonts w:eastAsia="Times New Roman"/>
          <w:snapToGrid w:val="0"/>
          <w:szCs w:val="24"/>
          <w:lang w:val="en-US" w:eastAsia="en-US"/>
        </w:rPr>
        <w:t xml:space="preserve">=50 MPa, </w:t>
      </w:r>
      <w:r w:rsidRPr="000846FD">
        <w:rPr>
          <w:rFonts w:eastAsia="Times New Roman"/>
          <w:i/>
          <w:snapToGrid w:val="0"/>
          <w:szCs w:val="24"/>
          <w:lang w:val="en-US" w:eastAsia="en-US"/>
        </w:rPr>
        <w:t>f</w:t>
      </w:r>
      <w:r w:rsidRPr="000846FD">
        <w:rPr>
          <w:rFonts w:eastAsia="Times New Roman"/>
          <w:i/>
          <w:snapToGrid w:val="0"/>
          <w:szCs w:val="24"/>
          <w:vertAlign w:val="subscript"/>
          <w:lang w:val="en-US" w:eastAsia="en-US"/>
        </w:rPr>
        <w:t>ck,cub</w:t>
      </w:r>
      <w:r w:rsidRPr="000846FD">
        <w:rPr>
          <w:rFonts w:eastAsia="Times New Roman"/>
          <w:snapToGrid w:val="0"/>
          <w:szCs w:val="24"/>
          <w:lang w:val="en-US" w:eastAsia="en-US"/>
        </w:rPr>
        <w:t xml:space="preserve">=60 MPa). The characteristic values of strength, </w:t>
      </w:r>
      <w:r w:rsidRPr="000846FD">
        <w:rPr>
          <w:rFonts w:eastAsia="Times New Roman"/>
          <w:i/>
          <w:snapToGrid w:val="0"/>
          <w:szCs w:val="24"/>
          <w:lang w:val="en-US" w:eastAsia="en-US"/>
        </w:rPr>
        <w:t>f</w:t>
      </w:r>
      <w:r w:rsidRPr="000846FD">
        <w:rPr>
          <w:rFonts w:eastAsia="Times New Roman"/>
          <w:i/>
          <w:snapToGrid w:val="0"/>
          <w:szCs w:val="24"/>
          <w:vertAlign w:val="subscript"/>
          <w:lang w:val="en-US" w:eastAsia="en-US"/>
        </w:rPr>
        <w:t>ptk</w:t>
      </w:r>
      <w:r w:rsidRPr="000846FD">
        <w:rPr>
          <w:rFonts w:eastAsia="Times New Roman"/>
          <w:snapToGrid w:val="0"/>
          <w:szCs w:val="24"/>
          <w:lang w:val="en-US" w:eastAsia="en-US"/>
        </w:rPr>
        <w:t xml:space="preserve">, nominal yield stress at 0.1 residual strain, </w:t>
      </w:r>
      <w:r w:rsidRPr="000846FD">
        <w:rPr>
          <w:rFonts w:eastAsia="Times New Roman"/>
          <w:i/>
          <w:snapToGrid w:val="0"/>
          <w:szCs w:val="24"/>
          <w:lang w:val="en-US" w:eastAsia="en-US"/>
        </w:rPr>
        <w:t>f</w:t>
      </w:r>
      <w:r w:rsidRPr="000846FD">
        <w:rPr>
          <w:rFonts w:eastAsia="Times New Roman"/>
          <w:i/>
          <w:snapToGrid w:val="0"/>
          <w:szCs w:val="24"/>
          <w:vertAlign w:val="subscript"/>
          <w:lang w:val="en-US" w:eastAsia="en-US"/>
        </w:rPr>
        <w:t>p(0.1)k</w:t>
      </w:r>
      <w:r w:rsidRPr="000846FD">
        <w:rPr>
          <w:rFonts w:eastAsia="Times New Roman"/>
          <w:snapToGrid w:val="0"/>
          <w:szCs w:val="24"/>
          <w:lang w:val="en-US" w:eastAsia="en-US"/>
        </w:rPr>
        <w:t xml:space="preserve">, and stress at 1% of total strain, </w:t>
      </w:r>
      <w:r w:rsidRPr="000846FD">
        <w:rPr>
          <w:rFonts w:eastAsia="Times New Roman"/>
          <w:i/>
          <w:snapToGrid w:val="0"/>
          <w:szCs w:val="24"/>
          <w:lang w:val="en-US" w:eastAsia="en-US"/>
        </w:rPr>
        <w:t>f</w:t>
      </w:r>
      <w:r w:rsidRPr="000846FD">
        <w:rPr>
          <w:rFonts w:eastAsia="Times New Roman"/>
          <w:i/>
          <w:snapToGrid w:val="0"/>
          <w:szCs w:val="24"/>
          <w:vertAlign w:val="subscript"/>
          <w:lang w:val="en-US" w:eastAsia="en-US"/>
        </w:rPr>
        <w:t>p(1)k</w:t>
      </w:r>
      <w:r w:rsidRPr="000846FD">
        <w:rPr>
          <w:rFonts w:eastAsia="Times New Roman"/>
          <w:snapToGrid w:val="0"/>
          <w:szCs w:val="24"/>
          <w:lang w:val="en-US" w:eastAsia="en-US"/>
        </w:rPr>
        <w:t>, of the harmonic steel constituting the strands of purlins and girders are equal to 1860 MPa, 1600 MPa and 1670 MPa, respectively.</w:t>
      </w:r>
    </w:p>
    <w:p w:rsidR="000846FD" w:rsidRPr="000846FD" w:rsidRDefault="000846FD" w:rsidP="000846FD">
      <w:pPr>
        <w:widowControl w:val="0"/>
        <w:spacing w:after="0" w:line="240" w:lineRule="auto"/>
        <w:jc w:val="both"/>
        <w:rPr>
          <w:rFonts w:eastAsia="Times New Roman"/>
          <w:snapToGrid w:val="0"/>
          <w:szCs w:val="24"/>
          <w:lang w:val="en-US" w:eastAsia="en-US"/>
        </w:rPr>
      </w:pPr>
    </w:p>
    <w:p w:rsidR="000846FD" w:rsidRPr="000846FD" w:rsidRDefault="000846FD" w:rsidP="000846FD">
      <w:pPr>
        <w:widowControl w:val="0"/>
        <w:spacing w:after="0" w:line="240" w:lineRule="auto"/>
        <w:jc w:val="both"/>
        <w:rPr>
          <w:rFonts w:eastAsia="Times New Roman"/>
          <w:snapToGrid w:val="0"/>
          <w:szCs w:val="24"/>
          <w:lang w:val="en-US" w:eastAsia="en-US"/>
        </w:rPr>
      </w:pPr>
    </w:p>
    <w:p w:rsidR="000846FD" w:rsidRPr="000846FD" w:rsidRDefault="000846FD" w:rsidP="000846FD">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0846FD">
        <w:rPr>
          <w:rFonts w:eastAsia="Times New Roman"/>
          <w:b/>
          <w:caps/>
          <w:snapToGrid w:val="0"/>
          <w:szCs w:val="24"/>
          <w:lang w:val="en-US" w:eastAsia="en-US"/>
        </w:rPr>
        <w:t xml:space="preserve">3. </w:t>
      </w:r>
      <w:r w:rsidRPr="000846FD">
        <w:rPr>
          <w:rFonts w:eastAsia="Times New Roman"/>
          <w:b/>
          <w:bCs/>
          <w:caps/>
          <w:snapToGrid w:val="0"/>
          <w:szCs w:val="24"/>
          <w:lang w:val="en-US" w:eastAsia="en-US"/>
        </w:rPr>
        <w:t xml:space="preserve">Earthquake design levels </w:t>
      </w:r>
    </w:p>
    <w:p w:rsidR="000846FD" w:rsidRPr="000846FD" w:rsidRDefault="000846FD" w:rsidP="000846FD">
      <w:pPr>
        <w:widowControl w:val="0"/>
        <w:spacing w:after="0" w:line="240" w:lineRule="auto"/>
        <w:jc w:val="both"/>
        <w:rPr>
          <w:rFonts w:eastAsia="Times New Roman"/>
          <w:snapToGrid w:val="0"/>
          <w:szCs w:val="24"/>
          <w:lang w:val="en-US"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r w:rsidRPr="000846FD">
        <w:rPr>
          <w:rFonts w:eastAsia="Times New Roman"/>
          <w:snapToGrid w:val="0"/>
          <w:szCs w:val="24"/>
          <w:lang w:val="en-GB" w:eastAsia="en-US"/>
        </w:rPr>
        <w:t xml:space="preserve">The three designs were carried out for the four reference seismic levels fixed in the Italian Standards (2018), that is, Frequent Design Earthquake (FDE, with 81% probability of being exceeded over the reference time period </w:t>
      </w:r>
      <w:r w:rsidRPr="000846FD">
        <w:rPr>
          <w:rFonts w:eastAsia="Times New Roman"/>
          <w:i/>
          <w:snapToGrid w:val="0"/>
          <w:szCs w:val="24"/>
          <w:lang w:val="en-GB" w:eastAsia="en-US"/>
        </w:rPr>
        <w:t>V</w:t>
      </w:r>
      <w:r w:rsidRPr="000846FD">
        <w:rPr>
          <w:rFonts w:eastAsia="Times New Roman"/>
          <w:i/>
          <w:snapToGrid w:val="0"/>
          <w:szCs w:val="24"/>
          <w:vertAlign w:val="subscript"/>
          <w:lang w:val="en-GB" w:eastAsia="en-US"/>
        </w:rPr>
        <w:t>R</w:t>
      </w:r>
      <w:r w:rsidRPr="000846FD">
        <w:rPr>
          <w:rFonts w:eastAsia="Times New Roman"/>
          <w:snapToGrid w:val="0"/>
          <w:szCs w:val="24"/>
          <w:lang w:val="en-GB" w:eastAsia="en-US"/>
        </w:rPr>
        <w:t>); Serviceability Design Earthquake (SDE, with 50%/</w:t>
      </w:r>
      <w:r w:rsidRPr="000846FD">
        <w:rPr>
          <w:rFonts w:eastAsia="Times New Roman"/>
          <w:i/>
          <w:snapToGrid w:val="0"/>
          <w:szCs w:val="24"/>
          <w:lang w:val="en-GB" w:eastAsia="en-US"/>
        </w:rPr>
        <w:t>V</w:t>
      </w:r>
      <w:r w:rsidRPr="000846FD">
        <w:rPr>
          <w:rFonts w:eastAsia="Times New Roman"/>
          <w:i/>
          <w:snapToGrid w:val="0"/>
          <w:szCs w:val="24"/>
          <w:vertAlign w:val="subscript"/>
          <w:lang w:val="en-GB" w:eastAsia="en-US"/>
        </w:rPr>
        <w:t>R</w:t>
      </w:r>
      <w:r w:rsidRPr="000846FD">
        <w:rPr>
          <w:rFonts w:eastAsia="Times New Roman"/>
          <w:snapToGrid w:val="0"/>
          <w:szCs w:val="24"/>
          <w:lang w:val="en-GB" w:eastAsia="en-US"/>
        </w:rPr>
        <w:t xml:space="preserve"> probability); Basic Design Earthquake (BDE, with 10%/</w:t>
      </w:r>
      <w:r w:rsidRPr="000846FD">
        <w:rPr>
          <w:rFonts w:eastAsia="Times New Roman"/>
          <w:i/>
          <w:snapToGrid w:val="0"/>
          <w:szCs w:val="24"/>
          <w:lang w:val="en-GB" w:eastAsia="en-US"/>
        </w:rPr>
        <w:t>V</w:t>
      </w:r>
      <w:r w:rsidRPr="000846FD">
        <w:rPr>
          <w:rFonts w:eastAsia="Times New Roman"/>
          <w:i/>
          <w:snapToGrid w:val="0"/>
          <w:szCs w:val="24"/>
          <w:vertAlign w:val="subscript"/>
          <w:lang w:val="en-GB" w:eastAsia="en-US"/>
        </w:rPr>
        <w:t>R</w:t>
      </w:r>
      <w:r w:rsidRPr="000846FD">
        <w:rPr>
          <w:rFonts w:eastAsia="Times New Roman"/>
          <w:snapToGrid w:val="0"/>
          <w:szCs w:val="24"/>
          <w:lang w:val="en-GB" w:eastAsia="en-US"/>
        </w:rPr>
        <w:t xml:space="preserve"> probability); and Maximum Considered Earthquake (MCE, with 5%/</w:t>
      </w:r>
      <w:r w:rsidRPr="000846FD">
        <w:rPr>
          <w:rFonts w:eastAsia="Times New Roman"/>
          <w:i/>
          <w:snapToGrid w:val="0"/>
          <w:szCs w:val="24"/>
          <w:lang w:val="en-GB" w:eastAsia="en-US"/>
        </w:rPr>
        <w:t>V</w:t>
      </w:r>
      <w:r w:rsidRPr="000846FD">
        <w:rPr>
          <w:rFonts w:eastAsia="Times New Roman"/>
          <w:i/>
          <w:snapToGrid w:val="0"/>
          <w:szCs w:val="24"/>
          <w:vertAlign w:val="subscript"/>
          <w:lang w:val="en-GB" w:eastAsia="en-US"/>
        </w:rPr>
        <w:t>R</w:t>
      </w:r>
      <w:r w:rsidRPr="000846FD">
        <w:rPr>
          <w:rFonts w:eastAsia="Times New Roman"/>
          <w:snapToGrid w:val="0"/>
          <w:szCs w:val="24"/>
          <w:lang w:val="en-GB" w:eastAsia="en-US"/>
        </w:rPr>
        <w:t xml:space="preserve"> probability). The </w:t>
      </w:r>
      <w:r w:rsidRPr="000846FD">
        <w:rPr>
          <w:rFonts w:eastAsia="Times New Roman"/>
          <w:i/>
          <w:snapToGrid w:val="0"/>
          <w:szCs w:val="24"/>
          <w:lang w:val="en-GB" w:eastAsia="en-US"/>
        </w:rPr>
        <w:t>V</w:t>
      </w:r>
      <w:r w:rsidRPr="000846FD">
        <w:rPr>
          <w:rFonts w:eastAsia="Times New Roman"/>
          <w:i/>
          <w:snapToGrid w:val="0"/>
          <w:szCs w:val="24"/>
          <w:vertAlign w:val="subscript"/>
          <w:lang w:val="en-GB" w:eastAsia="en-US"/>
        </w:rPr>
        <w:t>R</w:t>
      </w:r>
      <w:r w:rsidRPr="000846FD">
        <w:rPr>
          <w:rFonts w:eastAsia="Times New Roman"/>
          <w:snapToGrid w:val="0"/>
          <w:szCs w:val="24"/>
          <w:lang w:val="en-GB" w:eastAsia="en-US"/>
        </w:rPr>
        <w:t xml:space="preserve"> period is fixed at 50 years. By referring to topographic category T1 (flat surface), and C-type soil (deep deposits of dense or medium-dense sand, gravel or stiff clay from several ten to several hundred meters thick), the resulting peak ground accelerations for the four seismic levels </w:t>
      </w:r>
      <w:r w:rsidRPr="000846FD">
        <w:rPr>
          <w:rFonts w:eastAsia="Times New Roman"/>
          <w:bCs/>
          <w:snapToGrid w:val="0"/>
          <w:szCs w:val="24"/>
          <w:lang w:val="en-GB" w:eastAsia="en-US"/>
        </w:rPr>
        <w:t xml:space="preserve">referred to the site of the building </w:t>
      </w:r>
      <w:r w:rsidRPr="000846FD">
        <w:rPr>
          <w:rFonts w:eastAsia="Times New Roman"/>
          <w:snapToGrid w:val="0"/>
          <w:szCs w:val="24"/>
          <w:lang w:val="en-GB" w:eastAsia="en-US"/>
        </w:rPr>
        <w:t xml:space="preserve">are as follows: 0.075 </w:t>
      </w:r>
      <w:r w:rsidRPr="000846FD">
        <w:rPr>
          <w:rFonts w:eastAsia="Times New Roman"/>
          <w:i/>
          <w:snapToGrid w:val="0"/>
          <w:szCs w:val="24"/>
          <w:lang w:val="en-GB" w:eastAsia="en-US"/>
        </w:rPr>
        <w:t>g</w:t>
      </w:r>
      <w:r w:rsidRPr="000846FD">
        <w:rPr>
          <w:rFonts w:eastAsia="Times New Roman"/>
          <w:snapToGrid w:val="0"/>
          <w:szCs w:val="24"/>
          <w:lang w:val="en-GB" w:eastAsia="en-US"/>
        </w:rPr>
        <w:t xml:space="preserve"> (FDE), 0.096 </w:t>
      </w:r>
      <w:r w:rsidRPr="000846FD">
        <w:rPr>
          <w:rFonts w:eastAsia="Times New Roman"/>
          <w:i/>
          <w:snapToGrid w:val="0"/>
          <w:szCs w:val="24"/>
          <w:lang w:val="en-GB" w:eastAsia="en-US"/>
        </w:rPr>
        <w:t>g</w:t>
      </w:r>
      <w:r w:rsidRPr="000846FD">
        <w:rPr>
          <w:rFonts w:eastAsia="Times New Roman"/>
          <w:snapToGrid w:val="0"/>
          <w:szCs w:val="24"/>
          <w:lang w:val="en-GB" w:eastAsia="en-US"/>
        </w:rPr>
        <w:t xml:space="preserve"> (SDE), 0.254 </w:t>
      </w:r>
      <w:r w:rsidRPr="000846FD">
        <w:rPr>
          <w:rFonts w:eastAsia="Times New Roman"/>
          <w:i/>
          <w:snapToGrid w:val="0"/>
          <w:szCs w:val="24"/>
          <w:lang w:val="en-GB" w:eastAsia="en-US"/>
        </w:rPr>
        <w:t>g</w:t>
      </w:r>
      <w:r w:rsidRPr="000846FD">
        <w:rPr>
          <w:rFonts w:eastAsia="Times New Roman"/>
          <w:snapToGrid w:val="0"/>
          <w:szCs w:val="24"/>
          <w:lang w:val="en-GB" w:eastAsia="en-US"/>
        </w:rPr>
        <w:t xml:space="preserve"> (BDE), and 0.313 </w:t>
      </w:r>
      <w:r w:rsidRPr="000846FD">
        <w:rPr>
          <w:rFonts w:eastAsia="Times New Roman"/>
          <w:i/>
          <w:snapToGrid w:val="0"/>
          <w:szCs w:val="24"/>
          <w:lang w:val="en-GB" w:eastAsia="en-US"/>
        </w:rPr>
        <w:t>g</w:t>
      </w:r>
      <w:r w:rsidRPr="000846FD">
        <w:rPr>
          <w:rFonts w:eastAsia="Times New Roman"/>
          <w:snapToGrid w:val="0"/>
          <w:szCs w:val="24"/>
          <w:lang w:val="en-GB" w:eastAsia="en-US"/>
        </w:rPr>
        <w:t xml:space="preserve"> (MCE), for the horizontal motion components; and 0.015 </w:t>
      </w:r>
      <w:r w:rsidRPr="000846FD">
        <w:rPr>
          <w:rFonts w:eastAsia="Times New Roman"/>
          <w:i/>
          <w:snapToGrid w:val="0"/>
          <w:szCs w:val="24"/>
          <w:lang w:val="en-GB" w:eastAsia="en-US"/>
        </w:rPr>
        <w:t>g</w:t>
      </w:r>
      <w:r w:rsidRPr="000846FD">
        <w:rPr>
          <w:rFonts w:eastAsia="Times New Roman"/>
          <w:snapToGrid w:val="0"/>
          <w:szCs w:val="24"/>
          <w:lang w:val="en-GB" w:eastAsia="en-US"/>
        </w:rPr>
        <w:t xml:space="preserve"> (FDE), 0.022 </w:t>
      </w:r>
      <w:r w:rsidRPr="000846FD">
        <w:rPr>
          <w:rFonts w:eastAsia="Times New Roman"/>
          <w:i/>
          <w:snapToGrid w:val="0"/>
          <w:szCs w:val="24"/>
          <w:lang w:val="en-GB" w:eastAsia="en-US"/>
        </w:rPr>
        <w:t>g</w:t>
      </w:r>
      <w:r w:rsidRPr="000846FD">
        <w:rPr>
          <w:rFonts w:eastAsia="Times New Roman"/>
          <w:snapToGrid w:val="0"/>
          <w:szCs w:val="24"/>
          <w:lang w:val="en-GB" w:eastAsia="en-US"/>
        </w:rPr>
        <w:t xml:space="preserve"> (SDE), 0.1 </w:t>
      </w:r>
      <w:r w:rsidRPr="000846FD">
        <w:rPr>
          <w:rFonts w:eastAsia="Times New Roman"/>
          <w:i/>
          <w:snapToGrid w:val="0"/>
          <w:szCs w:val="24"/>
          <w:lang w:val="en-GB" w:eastAsia="en-US"/>
        </w:rPr>
        <w:t>g</w:t>
      </w:r>
      <w:r w:rsidRPr="000846FD">
        <w:rPr>
          <w:rFonts w:eastAsia="Times New Roman"/>
          <w:snapToGrid w:val="0"/>
          <w:szCs w:val="24"/>
          <w:lang w:val="en-GB" w:eastAsia="en-US"/>
        </w:rPr>
        <w:t xml:space="preserve"> (BDE), and 0.151 </w:t>
      </w:r>
      <w:r w:rsidRPr="000846FD">
        <w:rPr>
          <w:rFonts w:eastAsia="Times New Roman"/>
          <w:i/>
          <w:snapToGrid w:val="0"/>
          <w:szCs w:val="24"/>
          <w:lang w:val="en-GB" w:eastAsia="en-US"/>
        </w:rPr>
        <w:t>g</w:t>
      </w:r>
      <w:r w:rsidRPr="000846FD">
        <w:rPr>
          <w:rFonts w:eastAsia="Times New Roman"/>
          <w:snapToGrid w:val="0"/>
          <w:szCs w:val="24"/>
          <w:lang w:val="en-GB" w:eastAsia="en-US"/>
        </w:rPr>
        <w:t xml:space="preserve"> (MCE), for the vertical component. Relevant elastic pseudo-acceleration response spectra at linear viscous damping ratio </w:t>
      </w:r>
      <w:r w:rsidRPr="000846FD">
        <w:rPr>
          <w:rFonts w:eastAsia="Times New Roman"/>
          <w:i/>
          <w:snapToGrid w:val="0"/>
          <w:szCs w:val="24"/>
          <w:lang w:val="en-GB" w:eastAsia="en-US"/>
        </w:rPr>
        <w:sym w:font="Symbol" w:char="F078"/>
      </w:r>
      <w:r w:rsidRPr="000846FD">
        <w:rPr>
          <w:rFonts w:eastAsia="Times New Roman"/>
          <w:snapToGrid w:val="0"/>
          <w:szCs w:val="24"/>
          <w:lang w:val="en-GB" w:eastAsia="en-US"/>
        </w:rPr>
        <w:t xml:space="preserve">=5% are plotted in Figure 2. </w:t>
      </w:r>
    </w:p>
    <w:p w:rsidR="000846FD" w:rsidRPr="000846FD" w:rsidRDefault="000846FD" w:rsidP="000846FD">
      <w:pPr>
        <w:widowControl w:val="0"/>
        <w:spacing w:after="0" w:line="240" w:lineRule="auto"/>
        <w:jc w:val="both"/>
        <w:rPr>
          <w:rFonts w:eastAsia="Times New Roman"/>
          <w:snapToGrid w:val="0"/>
          <w:szCs w:val="24"/>
          <w:lang w:val="en-GB" w:eastAsia="en-US"/>
        </w:rPr>
      </w:pPr>
      <w:r w:rsidRPr="000846FD">
        <w:rPr>
          <w:rFonts w:eastAsia="Times New Roman"/>
          <w:noProof/>
          <w:snapToGrid w:val="0"/>
          <w:szCs w:val="24"/>
        </w:rPr>
        <w:drawing>
          <wp:anchor distT="0" distB="0" distL="114300" distR="114300" simplePos="0" relativeHeight="251661312" behindDoc="0" locked="0" layoutInCell="1" allowOverlap="1" wp14:anchorId="7182E90C" wp14:editId="46335457">
            <wp:simplePos x="0" y="0"/>
            <wp:positionH relativeFrom="column">
              <wp:posOffset>1037645</wp:posOffset>
            </wp:positionH>
            <wp:positionV relativeFrom="paragraph">
              <wp:posOffset>3175</wp:posOffset>
            </wp:positionV>
            <wp:extent cx="3693160" cy="1266825"/>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938" t="39873" r="23695" b="36106"/>
                    <a:stretch/>
                  </pic:blipFill>
                  <pic:spPr bwMode="auto">
                    <a:xfrm>
                      <a:off x="0" y="0"/>
                      <a:ext cx="3693160" cy="1266825"/>
                    </a:xfrm>
                    <a:prstGeom prst="rect">
                      <a:avLst/>
                    </a:prstGeom>
                    <a:noFill/>
                    <a:ln>
                      <a:noFill/>
                    </a:ln>
                    <a:extLst>
                      <a:ext uri="{53640926-AAD7-44D8-BBD7-CCE9431645EC}">
                        <a14:shadowObscured xmlns:a14="http://schemas.microsoft.com/office/drawing/2010/main"/>
                      </a:ext>
                    </a:extLst>
                  </pic:spPr>
                </pic:pic>
              </a:graphicData>
            </a:graphic>
          </wp:anchor>
        </w:drawing>
      </w: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center"/>
        <w:rPr>
          <w:rFonts w:eastAsia="Times New Roman"/>
          <w:snapToGrid w:val="0"/>
          <w:sz w:val="20"/>
          <w:szCs w:val="24"/>
          <w:lang w:val="en-US" w:eastAsia="en-US"/>
        </w:rPr>
      </w:pPr>
      <w:r w:rsidRPr="000846FD">
        <w:rPr>
          <w:rFonts w:eastAsia="Times New Roman"/>
          <w:snapToGrid w:val="0"/>
          <w:sz w:val="20"/>
          <w:szCs w:val="24"/>
          <w:lang w:val="en-US" w:eastAsia="en-US"/>
        </w:rPr>
        <w:t xml:space="preserve">Figure 2. </w:t>
      </w:r>
      <w:r w:rsidRPr="000846FD">
        <w:rPr>
          <w:rFonts w:eastAsia="Times New Roman"/>
          <w:snapToGrid w:val="0"/>
          <w:sz w:val="20"/>
          <w:szCs w:val="24"/>
          <w:lang w:val="en-GB" w:eastAsia="en-US"/>
        </w:rPr>
        <w:t>Normative pseudo-acceleration elastic response spectra — horizontal and vertical components</w:t>
      </w:r>
      <w:r w:rsidRPr="000846FD">
        <w:rPr>
          <w:rFonts w:eastAsia="Times New Roman"/>
          <w:snapToGrid w:val="0"/>
          <w:sz w:val="20"/>
          <w:szCs w:val="24"/>
          <w:lang w:val="en-US" w:eastAsia="en-US"/>
        </w:rPr>
        <w:t xml:space="preserve"> </w:t>
      </w: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bCs/>
          <w:snapToGrid w:val="0"/>
          <w:szCs w:val="24"/>
          <w:lang w:val="en-US" w:eastAsia="en-US"/>
        </w:rPr>
      </w:pPr>
      <w:r w:rsidRPr="000846FD">
        <w:rPr>
          <w:rFonts w:eastAsia="Times New Roman"/>
          <w:snapToGrid w:val="0"/>
          <w:szCs w:val="24"/>
          <w:lang w:val="en-GB" w:eastAsia="en-US"/>
        </w:rPr>
        <w:t xml:space="preserve">In the traditional design hypothesis the sizing analyses were developed by scaling the spectra referred to the BDE and the MCE by a behaviour factor </w:t>
      </w:r>
      <w:r w:rsidRPr="000846FD">
        <w:rPr>
          <w:rFonts w:eastAsia="Times New Roman"/>
          <w:i/>
          <w:snapToGrid w:val="0"/>
          <w:szCs w:val="24"/>
          <w:lang w:val="en-GB" w:eastAsia="en-US"/>
        </w:rPr>
        <w:t>q</w:t>
      </w:r>
      <w:r w:rsidRPr="000846FD">
        <w:rPr>
          <w:rFonts w:eastAsia="Times New Roman"/>
          <w:snapToGrid w:val="0"/>
          <w:szCs w:val="24"/>
          <w:lang w:val="en-GB" w:eastAsia="en-US"/>
        </w:rPr>
        <w:t>=2.5, as admitted by Italian Standards (2018) for partly/completely prefabricated structures complying with ductility class “B” requirements, with fixed base columns having hinged connections to the girders. The same spectra were not scaled (</w:t>
      </w:r>
      <w:r w:rsidRPr="000846FD">
        <w:rPr>
          <w:rFonts w:eastAsia="Times New Roman"/>
          <w:i/>
          <w:snapToGrid w:val="0"/>
          <w:szCs w:val="24"/>
          <w:lang w:val="en-GB" w:eastAsia="en-US"/>
        </w:rPr>
        <w:t>q</w:t>
      </w:r>
      <w:r w:rsidRPr="000846FD">
        <w:rPr>
          <w:rFonts w:eastAsia="Times New Roman"/>
          <w:snapToGrid w:val="0"/>
          <w:szCs w:val="24"/>
          <w:lang w:val="en-GB" w:eastAsia="en-US"/>
        </w:rPr>
        <w:t xml:space="preserve">=1) for the DB-based and BI-based design solutions, because an undamaged elastic structural response was pursued up to the MCE in both options. The FDE and SDE-related elastic response spectra were mutually assumed for the three design hypotheses. </w:t>
      </w:r>
      <w:r w:rsidRPr="000846FD">
        <w:rPr>
          <w:rFonts w:eastAsia="Times New Roman"/>
          <w:snapToGrid w:val="0"/>
          <w:szCs w:val="24"/>
          <w:lang w:val="en-US" w:eastAsia="en-US"/>
        </w:rPr>
        <w:t xml:space="preserve">Final verification time-history analyses were developed by assuming artificial ground motions as inputs, generated </w:t>
      </w:r>
      <w:r w:rsidRPr="000846FD">
        <w:rPr>
          <w:rFonts w:eastAsia="Times New Roman"/>
          <w:bCs/>
          <w:snapToGrid w:val="0"/>
          <w:szCs w:val="24"/>
          <w:lang w:val="en-US" w:eastAsia="en-US"/>
        </w:rPr>
        <w:t xml:space="preserve">in families of seven </w:t>
      </w:r>
      <w:r w:rsidRPr="000846FD">
        <w:rPr>
          <w:rFonts w:eastAsia="Times New Roman"/>
          <w:snapToGrid w:val="0"/>
          <w:szCs w:val="24"/>
          <w:lang w:val="en-US" w:eastAsia="en-US"/>
        </w:rPr>
        <w:t xml:space="preserve">by SIMQKE-II software (Vanmarcke et al. 1997) from the elastic spectra above, </w:t>
      </w:r>
      <w:r w:rsidRPr="000846FD">
        <w:rPr>
          <w:rFonts w:eastAsia="Times New Roman"/>
          <w:bCs/>
          <w:snapToGrid w:val="0"/>
          <w:szCs w:val="24"/>
          <w:lang w:val="en-US" w:eastAsia="en-US"/>
        </w:rPr>
        <w:t xml:space="preserve">both for the horizontal components (two families) and the vertical one (one family). In each time-history analysis the accelerograms were applied in groups of three simultaneous components, i.e. two horizontal components, with the first one selected from the first generated family of seven motions, and the second one selected from the second family, plus the vertical component. </w:t>
      </w:r>
    </w:p>
    <w:p w:rsidR="000846FD" w:rsidRPr="000846FD" w:rsidRDefault="000846FD" w:rsidP="000846FD">
      <w:pPr>
        <w:widowControl w:val="0"/>
        <w:spacing w:after="0" w:line="240" w:lineRule="auto"/>
        <w:jc w:val="both"/>
        <w:rPr>
          <w:rFonts w:eastAsia="Times New Roman"/>
          <w:bCs/>
          <w:snapToGrid w:val="0"/>
          <w:szCs w:val="24"/>
          <w:lang w:val="en-US" w:eastAsia="en-US"/>
        </w:rPr>
      </w:pPr>
    </w:p>
    <w:p w:rsidR="000846FD" w:rsidRPr="000846FD" w:rsidRDefault="000846FD" w:rsidP="000846FD">
      <w:pPr>
        <w:widowControl w:val="0"/>
        <w:spacing w:after="0" w:line="240" w:lineRule="auto"/>
        <w:jc w:val="both"/>
        <w:rPr>
          <w:rFonts w:eastAsia="Times New Roman"/>
          <w:bCs/>
          <w:snapToGrid w:val="0"/>
          <w:szCs w:val="24"/>
          <w:lang w:val="en-US" w:eastAsia="en-US"/>
        </w:rPr>
      </w:pPr>
    </w:p>
    <w:p w:rsidR="000846FD" w:rsidRPr="000846FD" w:rsidRDefault="000846FD" w:rsidP="000846FD">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0846FD">
        <w:rPr>
          <w:rFonts w:eastAsia="Times New Roman"/>
          <w:b/>
          <w:caps/>
          <w:snapToGrid w:val="0"/>
          <w:szCs w:val="24"/>
          <w:lang w:val="en-US" w:eastAsia="en-US"/>
        </w:rPr>
        <w:t xml:space="preserve">4. </w:t>
      </w:r>
      <w:r w:rsidRPr="000846FD">
        <w:rPr>
          <w:rFonts w:eastAsia="Times New Roman"/>
          <w:b/>
          <w:bCs/>
          <w:caps/>
          <w:snapToGrid w:val="0"/>
          <w:szCs w:val="24"/>
          <w:lang w:val="en-US" w:eastAsia="en-US"/>
        </w:rPr>
        <w:t>Traditional design solution</w:t>
      </w:r>
      <w:r w:rsidRPr="000846FD">
        <w:rPr>
          <w:rFonts w:eastAsia="Times New Roman"/>
          <w:b/>
          <w:caps/>
          <w:snapToGrid w:val="0"/>
          <w:szCs w:val="24"/>
          <w:lang w:val="en-US" w:eastAsia="en-US"/>
        </w:rPr>
        <w:t xml:space="preserve">  </w:t>
      </w:r>
    </w:p>
    <w:p w:rsidR="000846FD" w:rsidRPr="000846FD" w:rsidRDefault="000846FD" w:rsidP="000846FD">
      <w:pPr>
        <w:widowControl w:val="0"/>
        <w:spacing w:after="0" w:line="240" w:lineRule="auto"/>
        <w:jc w:val="both"/>
        <w:rPr>
          <w:rFonts w:eastAsia="Times New Roman"/>
          <w:snapToGrid w:val="0"/>
          <w:szCs w:val="24"/>
          <w:lang w:val="en-US" w:eastAsia="en-US"/>
        </w:rPr>
      </w:pPr>
    </w:p>
    <w:p w:rsidR="000846FD" w:rsidRPr="000846FD" w:rsidRDefault="000846FD" w:rsidP="000846FD">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0846FD">
        <w:rPr>
          <w:rFonts w:eastAsia="Times New Roman"/>
          <w:b/>
          <w:i/>
          <w:snapToGrid w:val="0"/>
          <w:szCs w:val="24"/>
          <w:lang w:val="en-US" w:eastAsia="en-US"/>
        </w:rPr>
        <w:t xml:space="preserve">4.1 </w:t>
      </w:r>
      <w:r w:rsidRPr="000846FD">
        <w:rPr>
          <w:rFonts w:eastAsia="Times New Roman"/>
          <w:b/>
          <w:i/>
          <w:snapToGrid w:val="0"/>
          <w:szCs w:val="24"/>
          <w:lang w:val="en-GB" w:eastAsia="en-US"/>
        </w:rPr>
        <w:t>Final Sizing of Structural Members – Modal Analysis</w:t>
      </w:r>
      <w:r w:rsidRPr="000846FD">
        <w:rPr>
          <w:rFonts w:eastAsia="Times New Roman"/>
          <w:b/>
          <w:i/>
          <w:snapToGrid w:val="0"/>
          <w:szCs w:val="24"/>
          <w:lang w:val="en-US" w:eastAsia="en-US"/>
        </w:rPr>
        <w:t xml:space="preserve"> </w:t>
      </w:r>
    </w:p>
    <w:p w:rsidR="000846FD" w:rsidRPr="000846FD" w:rsidRDefault="000846FD" w:rsidP="000846FD">
      <w:pPr>
        <w:widowControl w:val="0"/>
        <w:spacing w:after="0" w:line="240" w:lineRule="auto"/>
        <w:jc w:val="both"/>
        <w:rPr>
          <w:rFonts w:eastAsia="Times New Roman"/>
          <w:snapToGrid w:val="0"/>
          <w:szCs w:val="24"/>
          <w:lang w:val="en-US"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r w:rsidRPr="000846FD">
        <w:rPr>
          <w:rFonts w:eastAsia="Times New Roman"/>
          <w:snapToGrid w:val="0"/>
          <w:szCs w:val="24"/>
          <w:lang w:val="en-GB" w:eastAsia="en-US"/>
        </w:rPr>
        <w:t xml:space="preserve">The outcome of the design process is synthesized in Figure 3, where the vertical and mid-height cross sections of a column, and the cross section of a foundation plinth, are shown. As illustrated by these drawings, columns have sections of (800×800) mm×mm and are reinforced by 28 Ø20 bars, with Ø12 stirrups spaced at 120 mm (bottom end zone) and 200 mm (remaining zones). Plinths have square plan with sides of 3700 mm, bottom flange </w:t>
      </w:r>
      <w:r w:rsidRPr="000846FD">
        <w:rPr>
          <w:rFonts w:eastAsia="Times New Roman" w:hint="eastAsia"/>
          <w:snapToGrid w:val="0"/>
          <w:szCs w:val="24"/>
          <w:lang w:val="en-GB" w:eastAsia="en-US"/>
        </w:rPr>
        <w:t>height</w:t>
      </w:r>
      <w:r w:rsidRPr="000846FD">
        <w:rPr>
          <w:rFonts w:eastAsia="Times New Roman"/>
          <w:snapToGrid w:val="0"/>
          <w:szCs w:val="24"/>
          <w:lang w:val="en-GB" w:eastAsia="en-US"/>
        </w:rPr>
        <w:t xml:space="preserve"> of 900 mm, and total height of 1500 mm. A set of ten steel connectors anchored in the plinths are screwed to ten corresponding nuts welded to special steel caps embedded in the columns, to obtain a </w:t>
      </w:r>
      <w:r w:rsidRPr="000846FD">
        <w:rPr>
          <w:rFonts w:eastAsia="Times New Roman" w:hint="eastAsia"/>
          <w:snapToGrid w:val="0"/>
          <w:szCs w:val="24"/>
          <w:lang w:val="en-GB" w:eastAsia="en-US"/>
        </w:rPr>
        <w:t>monolithic</w:t>
      </w:r>
      <w:r w:rsidRPr="000846FD">
        <w:rPr>
          <w:rFonts w:eastAsia="Times New Roman"/>
          <w:snapToGrid w:val="0"/>
          <w:szCs w:val="24"/>
          <w:lang w:val="en-GB" w:eastAsia="en-US"/>
        </w:rPr>
        <w:t xml:space="preserve"> plinth-to-column joint. </w:t>
      </w:r>
      <w:r w:rsidRPr="000846FD">
        <w:rPr>
          <w:rFonts w:eastAsia="Times New Roman"/>
          <w:bCs/>
          <w:snapToGrid w:val="0"/>
          <w:szCs w:val="24"/>
          <w:lang w:val="en-GB" w:eastAsia="en-US"/>
        </w:rPr>
        <w:t>A mesh of R/C beams sized (400×500) mm×mm connects the 28 plinths, as requested by the Italian Standards to prevent possible differential displacements of their bases. These beams are included also in the two non-conventional design hypotheses.</w:t>
      </w:r>
    </w:p>
    <w:p w:rsidR="000846FD" w:rsidRPr="000846FD" w:rsidRDefault="000846FD" w:rsidP="000846FD">
      <w:pPr>
        <w:widowControl w:val="0"/>
        <w:spacing w:after="0" w:line="240" w:lineRule="auto"/>
        <w:jc w:val="both"/>
        <w:rPr>
          <w:rFonts w:eastAsia="Times New Roman"/>
          <w:snapToGrid w:val="0"/>
          <w:szCs w:val="24"/>
          <w:lang w:val="en-GB" w:eastAsia="en-US"/>
        </w:rPr>
      </w:pPr>
      <w:r w:rsidRPr="000846FD">
        <w:rPr>
          <w:rFonts w:eastAsia="Times New Roman"/>
          <w:noProof/>
          <w:snapToGrid w:val="0"/>
          <w:szCs w:val="24"/>
        </w:rPr>
        <w:drawing>
          <wp:anchor distT="0" distB="0" distL="114300" distR="114300" simplePos="0" relativeHeight="251662336" behindDoc="0" locked="0" layoutInCell="1" allowOverlap="1" wp14:anchorId="3A37657F" wp14:editId="7A3D9572">
            <wp:simplePos x="0" y="0"/>
            <wp:positionH relativeFrom="column">
              <wp:posOffset>-148590</wp:posOffset>
            </wp:positionH>
            <wp:positionV relativeFrom="paragraph">
              <wp:posOffset>117475</wp:posOffset>
            </wp:positionV>
            <wp:extent cx="3168650" cy="2406650"/>
            <wp:effectExtent l="19050" t="0" r="0" b="0"/>
            <wp:wrapNone/>
            <wp:docPr id="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641" t="14154" r="25571" b="29100"/>
                    <a:stretch/>
                  </pic:blipFill>
                  <pic:spPr bwMode="auto">
                    <a:xfrm>
                      <a:off x="0" y="0"/>
                      <a:ext cx="3168650" cy="2406650"/>
                    </a:xfrm>
                    <a:prstGeom prst="rect">
                      <a:avLst/>
                    </a:prstGeom>
                    <a:noFill/>
                    <a:ln>
                      <a:noFill/>
                    </a:ln>
                    <a:extLst>
                      <a:ext uri="{53640926-AAD7-44D8-BBD7-CCE9431645EC}">
                        <a14:shadowObscured xmlns:a14="http://schemas.microsoft.com/office/drawing/2010/main"/>
                      </a:ext>
                    </a:extLst>
                  </pic:spPr>
                </pic:pic>
              </a:graphicData>
            </a:graphic>
          </wp:anchor>
        </w:drawing>
      </w: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r w:rsidRPr="000846FD">
        <w:rPr>
          <w:rFonts w:eastAsia="Times New Roman"/>
          <w:noProof/>
          <w:snapToGrid w:val="0"/>
          <w:szCs w:val="24"/>
        </w:rPr>
        <w:drawing>
          <wp:anchor distT="0" distB="0" distL="114300" distR="114300" simplePos="0" relativeHeight="251663360" behindDoc="0" locked="0" layoutInCell="1" allowOverlap="1" wp14:anchorId="279B2E3A" wp14:editId="07492BA2">
            <wp:simplePos x="0" y="0"/>
            <wp:positionH relativeFrom="column">
              <wp:posOffset>3356610</wp:posOffset>
            </wp:positionH>
            <wp:positionV relativeFrom="paragraph">
              <wp:posOffset>34290</wp:posOffset>
            </wp:positionV>
            <wp:extent cx="2867025" cy="1314450"/>
            <wp:effectExtent l="19050" t="0" r="9525" b="0"/>
            <wp:wrapNone/>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7372" t="38724" r="25816" b="46094"/>
                    <a:stretch>
                      <a:fillRect/>
                    </a:stretch>
                  </pic:blipFill>
                  <pic:spPr bwMode="auto">
                    <a:xfrm>
                      <a:off x="0" y="0"/>
                      <a:ext cx="2867025" cy="1314450"/>
                    </a:xfrm>
                    <a:prstGeom prst="rect">
                      <a:avLst/>
                    </a:prstGeom>
                    <a:noFill/>
                    <a:ln w="9525">
                      <a:noFill/>
                      <a:miter lim="800000"/>
                      <a:headEnd/>
                      <a:tailEnd/>
                    </a:ln>
                  </pic:spPr>
                </pic:pic>
              </a:graphicData>
            </a:graphic>
          </wp:anchor>
        </w:drawing>
      </w: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center"/>
        <w:rPr>
          <w:rFonts w:eastAsia="Times New Roman"/>
          <w:snapToGrid w:val="0"/>
          <w:sz w:val="20"/>
          <w:szCs w:val="24"/>
          <w:lang w:val="en-US" w:eastAsia="en-US"/>
        </w:rPr>
      </w:pPr>
    </w:p>
    <w:p w:rsidR="000846FD" w:rsidRPr="000846FD" w:rsidRDefault="000846FD" w:rsidP="000846FD">
      <w:pPr>
        <w:widowControl w:val="0"/>
        <w:spacing w:after="0" w:line="240" w:lineRule="auto"/>
        <w:jc w:val="center"/>
        <w:rPr>
          <w:rFonts w:eastAsia="Times New Roman"/>
          <w:snapToGrid w:val="0"/>
          <w:sz w:val="20"/>
          <w:szCs w:val="24"/>
          <w:lang w:val="en-GB" w:eastAsia="en-US"/>
        </w:rPr>
      </w:pPr>
      <w:r w:rsidRPr="000846FD">
        <w:rPr>
          <w:rFonts w:eastAsia="Times New Roman"/>
          <w:snapToGrid w:val="0"/>
          <w:sz w:val="20"/>
          <w:szCs w:val="24"/>
          <w:lang w:val="en-US" w:eastAsia="en-US"/>
        </w:rPr>
        <w:t xml:space="preserve">Figure 3. </w:t>
      </w:r>
      <w:r w:rsidRPr="000846FD">
        <w:rPr>
          <w:rFonts w:eastAsia="Times New Roman"/>
          <w:snapToGrid w:val="0"/>
          <w:sz w:val="20"/>
          <w:szCs w:val="24"/>
          <w:lang w:val="en-GB" w:eastAsia="en-US"/>
        </w:rPr>
        <w:t>Traditional design.</w:t>
      </w:r>
      <w:r w:rsidRPr="000846FD">
        <w:rPr>
          <w:rFonts w:eastAsia="Times New Roman"/>
          <w:b/>
          <w:snapToGrid w:val="0"/>
          <w:sz w:val="20"/>
          <w:szCs w:val="24"/>
          <w:lang w:val="en-GB" w:eastAsia="en-US"/>
        </w:rPr>
        <w:t xml:space="preserve"> </w:t>
      </w:r>
      <w:r w:rsidRPr="000846FD">
        <w:rPr>
          <w:rFonts w:eastAsia="Times New Roman"/>
          <w:snapToGrid w:val="0"/>
          <w:sz w:val="20"/>
          <w:szCs w:val="24"/>
          <w:lang w:val="en-GB" w:eastAsia="en-US"/>
        </w:rPr>
        <w:t xml:space="preserve">Structural details of a column and a foundation plinth (dimension in millimeters) </w:t>
      </w: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US" w:eastAsia="en-US"/>
        </w:rPr>
      </w:pPr>
      <w:r w:rsidRPr="000846FD">
        <w:rPr>
          <w:rFonts w:eastAsia="Times New Roman"/>
          <w:snapToGrid w:val="0"/>
          <w:szCs w:val="24"/>
          <w:lang w:val="en-GB" w:eastAsia="en-US"/>
        </w:rPr>
        <w:t xml:space="preserve">The finite element model of the structure was generated by SAP2000NL program (CSI 2019). </w:t>
      </w:r>
      <w:r w:rsidRPr="000846FD">
        <w:rPr>
          <w:rFonts w:eastAsia="Times New Roman"/>
          <w:snapToGrid w:val="0"/>
          <w:szCs w:val="24"/>
          <w:lang w:val="en-US" w:eastAsia="en-US"/>
        </w:rPr>
        <w:t>A modal analysis was initially carried out by this model, which shows that the first mode is translational in X direction, with vibration period of 1.377 s and effective modal mass (EMM) equal to 97.4%; the second mode is translational in Y direction, with period of 1.364 s and EMM equal to 96.9%; and the third mode is rotational around the Z axis, with period of 1.307 s and EMM equal to 97.7%. Therefore, the first three modes are sufficient to activate EMMs nearly equal to the total seismic mass of the building along the two horizontal axes and around the vertical one.</w:t>
      </w:r>
    </w:p>
    <w:p w:rsidR="000846FD" w:rsidRPr="000846FD" w:rsidRDefault="000846FD" w:rsidP="000846FD">
      <w:pPr>
        <w:widowControl w:val="0"/>
        <w:tabs>
          <w:tab w:val="left" w:pos="0"/>
        </w:tabs>
        <w:suppressAutoHyphens/>
        <w:spacing w:after="0" w:line="240" w:lineRule="auto"/>
        <w:jc w:val="both"/>
        <w:rPr>
          <w:rFonts w:eastAsia="Times New Roman"/>
          <w:snapToGrid w:val="0"/>
          <w:szCs w:val="24"/>
          <w:lang w:val="en-US" w:eastAsia="en-US"/>
        </w:rPr>
      </w:pPr>
    </w:p>
    <w:p w:rsidR="000846FD" w:rsidRPr="000846FD" w:rsidRDefault="000846FD" w:rsidP="000846FD">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0846FD">
        <w:rPr>
          <w:rFonts w:eastAsia="Times New Roman"/>
          <w:b/>
          <w:i/>
          <w:snapToGrid w:val="0"/>
          <w:szCs w:val="24"/>
          <w:lang w:val="en-US" w:eastAsia="en-US"/>
        </w:rPr>
        <w:t xml:space="preserve">4.2 </w:t>
      </w:r>
      <w:r w:rsidRPr="000846FD">
        <w:rPr>
          <w:rFonts w:eastAsia="Times New Roman"/>
          <w:b/>
          <w:i/>
          <w:snapToGrid w:val="0"/>
          <w:szCs w:val="24"/>
          <w:lang w:val="en-GB" w:eastAsia="en-US"/>
        </w:rPr>
        <w:t>Time-History Verification and Performance Assessment Analysis</w:t>
      </w:r>
    </w:p>
    <w:p w:rsidR="000846FD" w:rsidRPr="000846FD" w:rsidRDefault="000846FD" w:rsidP="000846FD">
      <w:pPr>
        <w:widowControl w:val="0"/>
        <w:tabs>
          <w:tab w:val="left" w:pos="0"/>
        </w:tabs>
        <w:suppressAutoHyphens/>
        <w:spacing w:after="0" w:line="240" w:lineRule="auto"/>
        <w:jc w:val="both"/>
        <w:rPr>
          <w:rFonts w:eastAsia="Times New Roman"/>
          <w:snapToGrid w:val="0"/>
          <w:szCs w:val="24"/>
          <w:lang w:val="en-US" w:eastAsia="en-US"/>
        </w:rPr>
      </w:pPr>
    </w:p>
    <w:p w:rsidR="000846FD" w:rsidRPr="000846FD" w:rsidRDefault="000846FD" w:rsidP="000846FD">
      <w:pPr>
        <w:widowControl w:val="0"/>
        <w:spacing w:after="0" w:line="240" w:lineRule="auto"/>
        <w:jc w:val="both"/>
        <w:rPr>
          <w:rFonts w:eastAsia="Times New Roman"/>
          <w:bCs/>
          <w:snapToGrid w:val="0"/>
          <w:szCs w:val="24"/>
          <w:lang w:val="en-GB" w:eastAsia="en-US"/>
        </w:rPr>
      </w:pPr>
      <w:r w:rsidRPr="000846FD">
        <w:rPr>
          <w:rFonts w:eastAsia="Times New Roman"/>
          <w:snapToGrid w:val="0"/>
          <w:szCs w:val="24"/>
          <w:lang w:val="en-GB" w:eastAsia="en-US"/>
        </w:rPr>
        <w:t xml:space="preserve">A time-history verification and performance assessment analysis of the building was carried out for the four normative seismic levels described above. For this analysis, the sliding contact </w:t>
      </w:r>
      <w:r w:rsidRPr="000846FD">
        <w:rPr>
          <w:rFonts w:eastAsia="Times New Roman"/>
          <w:bCs/>
          <w:snapToGrid w:val="0"/>
          <w:szCs w:val="24"/>
          <w:lang w:val="en-GB" w:eastAsia="en-US"/>
        </w:rPr>
        <w:t xml:space="preserve">between the steel plates placed below the terminal zones of the roof girders and the top of columns was simulated by the “Friction Isolator” link element available in the library of SAP2000NL program. The value of the friction coefficient, </w:t>
      </w:r>
      <w:r w:rsidRPr="000846FD">
        <w:rPr>
          <w:rFonts w:eastAsia="Times New Roman"/>
          <w:bCs/>
          <w:i/>
          <w:snapToGrid w:val="0"/>
          <w:szCs w:val="24"/>
          <w:lang w:val="en-GB" w:eastAsia="en-US"/>
        </w:rPr>
        <w:t>μ</w:t>
      </w:r>
      <w:r w:rsidRPr="000846FD">
        <w:rPr>
          <w:rFonts w:eastAsia="Times New Roman"/>
          <w:bCs/>
          <w:snapToGrid w:val="0"/>
          <w:szCs w:val="24"/>
          <w:lang w:val="en-GB" w:eastAsia="en-US"/>
        </w:rPr>
        <w:t xml:space="preserve">, was fixed by considering the results of experimental studies carried out on the sliding friction contact between steel and concrete surfaces (Tanner 2008), which highlighted </w:t>
      </w:r>
      <w:r w:rsidRPr="000846FD">
        <w:rPr>
          <w:rFonts w:eastAsia="Times New Roman"/>
          <w:bCs/>
          <w:i/>
          <w:snapToGrid w:val="0"/>
          <w:szCs w:val="24"/>
          <w:lang w:val="en-GB" w:eastAsia="en-US"/>
        </w:rPr>
        <w:t>μ</w:t>
      </w:r>
      <w:r w:rsidRPr="000846FD">
        <w:rPr>
          <w:rFonts w:eastAsia="Times New Roman"/>
          <w:bCs/>
          <w:snapToGrid w:val="0"/>
          <w:szCs w:val="24"/>
          <w:lang w:val="en-GB" w:eastAsia="en-US"/>
        </w:rPr>
        <w:t xml:space="preserve"> values ranging from about 0.7 to about 0.3 in static (zero velocity) conditions, and from about 0.5 to about 0.1 in dynamic response conditions. Like for any friction contact problem, these values are a function of the roughness of the faced surfaces and the normal stress acting on them. In the case examined here, the bearing plate is made of plain steel and the prefabricated columns of trowelled and compacted concrete. The design compressive stress, equal to 4.7 MPa, is a standard design value for the bearing zones of prefab concrete members. Based on these design data and the suggestions of the above-mentioned experimental studies, the median values of relevant </w:t>
      </w:r>
      <w:r w:rsidRPr="000846FD">
        <w:rPr>
          <w:rFonts w:eastAsia="Times New Roman"/>
          <w:bCs/>
          <w:i/>
          <w:snapToGrid w:val="0"/>
          <w:szCs w:val="24"/>
          <w:lang w:val="en-GB" w:eastAsia="en-US"/>
        </w:rPr>
        <w:t>μ</w:t>
      </w:r>
      <w:r w:rsidRPr="000846FD">
        <w:rPr>
          <w:rFonts w:eastAsia="Times New Roman"/>
          <w:bCs/>
          <w:snapToGrid w:val="0"/>
          <w:szCs w:val="24"/>
          <w:lang w:val="en-GB" w:eastAsia="en-US"/>
        </w:rPr>
        <w:t xml:space="preserve"> ranges, i.e. </w:t>
      </w:r>
      <w:r w:rsidRPr="000846FD">
        <w:rPr>
          <w:rFonts w:eastAsia="Times New Roman"/>
          <w:bCs/>
          <w:i/>
          <w:snapToGrid w:val="0"/>
          <w:szCs w:val="24"/>
          <w:lang w:val="en-GB" w:eastAsia="en-US"/>
        </w:rPr>
        <w:t>μ=</w:t>
      </w:r>
      <w:r w:rsidRPr="000846FD">
        <w:rPr>
          <w:rFonts w:eastAsia="Times New Roman"/>
          <w:bCs/>
          <w:snapToGrid w:val="0"/>
          <w:szCs w:val="24"/>
          <w:lang w:val="en-GB" w:eastAsia="en-US"/>
        </w:rPr>
        <w:t xml:space="preserve">0.5 for static conditions and </w:t>
      </w:r>
      <w:r w:rsidRPr="000846FD">
        <w:rPr>
          <w:rFonts w:eastAsia="Times New Roman"/>
          <w:bCs/>
          <w:i/>
          <w:snapToGrid w:val="0"/>
          <w:szCs w:val="24"/>
          <w:lang w:val="en-GB" w:eastAsia="en-US"/>
        </w:rPr>
        <w:t>μ=</w:t>
      </w:r>
      <w:r w:rsidRPr="000846FD">
        <w:rPr>
          <w:rFonts w:eastAsia="Times New Roman"/>
          <w:bCs/>
          <w:snapToGrid w:val="0"/>
          <w:szCs w:val="24"/>
          <w:lang w:val="en-GB" w:eastAsia="en-US"/>
        </w:rPr>
        <w:t>0.3 for dynamic response conditions, were adopted in the time-history analyses.</w:t>
      </w:r>
    </w:p>
    <w:p w:rsidR="000846FD" w:rsidRPr="000846FD" w:rsidRDefault="000846FD" w:rsidP="000846FD">
      <w:pPr>
        <w:widowControl w:val="0"/>
        <w:spacing w:after="0" w:line="240" w:lineRule="auto"/>
        <w:jc w:val="both"/>
        <w:rPr>
          <w:rFonts w:eastAsia="Times New Roman"/>
          <w:bCs/>
          <w:snapToGrid w:val="0"/>
          <w:szCs w:val="24"/>
          <w:lang w:val="en-GB" w:eastAsia="en-US"/>
        </w:rPr>
      </w:pPr>
      <w:r w:rsidRPr="000846FD">
        <w:rPr>
          <w:rFonts w:eastAsia="Times New Roman"/>
          <w:bCs/>
          <w:snapToGrid w:val="0"/>
          <w:szCs w:val="24"/>
          <w:lang w:val="en-GB" w:eastAsia="en-US"/>
        </w:rPr>
        <w:t xml:space="preserve">The results at the FDE and SDE levels are evaluated in terms of maximum drift ratio (i.e. the ratio of drift to height) of the cladding panels, </w:t>
      </w:r>
      <w:r w:rsidRPr="000846FD">
        <w:rPr>
          <w:rFonts w:eastAsia="Times New Roman"/>
          <w:bCs/>
          <w:i/>
          <w:snapToGrid w:val="0"/>
          <w:szCs w:val="24"/>
          <w:lang w:val="en-GB" w:eastAsia="en-US"/>
        </w:rPr>
        <w:t>d</w:t>
      </w:r>
      <w:r w:rsidRPr="000846FD">
        <w:rPr>
          <w:rFonts w:eastAsia="Times New Roman"/>
          <w:bCs/>
          <w:i/>
          <w:snapToGrid w:val="0"/>
          <w:szCs w:val="24"/>
          <w:vertAlign w:val="subscript"/>
          <w:lang w:val="en-GB" w:eastAsia="en-US"/>
        </w:rPr>
        <w:t>rp</w:t>
      </w:r>
      <w:r w:rsidRPr="000846FD">
        <w:rPr>
          <w:rFonts w:eastAsia="Times New Roman"/>
          <w:bCs/>
          <w:snapToGrid w:val="0"/>
          <w:szCs w:val="24"/>
          <w:lang w:val="en-GB" w:eastAsia="en-US"/>
        </w:rPr>
        <w:t xml:space="preserve">. Peak </w:t>
      </w:r>
      <w:r w:rsidRPr="000846FD">
        <w:rPr>
          <w:rFonts w:eastAsia="Times New Roman"/>
          <w:bCs/>
          <w:i/>
          <w:snapToGrid w:val="0"/>
          <w:szCs w:val="24"/>
          <w:lang w:val="en-GB" w:eastAsia="en-US"/>
        </w:rPr>
        <w:t>d</w:t>
      </w:r>
      <w:r w:rsidRPr="000846FD">
        <w:rPr>
          <w:rFonts w:eastAsia="Times New Roman"/>
          <w:bCs/>
          <w:i/>
          <w:snapToGrid w:val="0"/>
          <w:szCs w:val="24"/>
          <w:vertAlign w:val="subscript"/>
          <w:lang w:val="en-GB" w:eastAsia="en-US"/>
        </w:rPr>
        <w:t>rp</w:t>
      </w:r>
      <w:r w:rsidRPr="000846FD">
        <w:rPr>
          <w:rFonts w:eastAsia="Times New Roman"/>
          <w:bCs/>
          <w:snapToGrid w:val="0"/>
          <w:szCs w:val="24"/>
          <w:lang w:val="en-GB" w:eastAsia="en-US"/>
        </w:rPr>
        <w:t xml:space="preserve"> values are equal to 0.25% (FDE) and 0.35% (SDE), far below the 0.66% limitation adopted by Italian Standards at the Operational (OP) performance level for drift-sensitive non-structural elements not seismically interacting with the supporting structure, like the cladding panels in this design. </w:t>
      </w:r>
    </w:p>
    <w:p w:rsidR="000846FD" w:rsidRPr="000846FD" w:rsidRDefault="000846FD" w:rsidP="000846FD">
      <w:pPr>
        <w:widowControl w:val="0"/>
        <w:spacing w:after="0" w:line="240" w:lineRule="auto"/>
        <w:jc w:val="both"/>
        <w:rPr>
          <w:rFonts w:eastAsia="Times New Roman"/>
          <w:bCs/>
          <w:snapToGrid w:val="0"/>
          <w:szCs w:val="24"/>
          <w:lang w:val="en-GB" w:eastAsia="en-US"/>
        </w:rPr>
      </w:pPr>
      <w:r w:rsidRPr="000846FD">
        <w:rPr>
          <w:rFonts w:eastAsia="Times New Roman"/>
          <w:bCs/>
          <w:snapToGrid w:val="0"/>
          <w:szCs w:val="24"/>
          <w:lang w:val="en-GB" w:eastAsia="en-US"/>
        </w:rPr>
        <w:t xml:space="preserve">The response in the inelastic field is estimated by virtue of the “equal displacement rule” (i.e. </w:t>
      </w:r>
      <w:r w:rsidRPr="000846FD">
        <w:rPr>
          <w:rFonts w:eastAsia="Times New Roman"/>
          <w:snapToGrid w:val="0"/>
          <w:szCs w:val="24"/>
          <w:lang w:val="en-GB" w:eastAsia="en-US"/>
        </w:rPr>
        <w:t>the maximum deformation of the inelastic and the associated elastic systems may be considered the same). Indeed, it</w:t>
      </w:r>
      <w:r w:rsidRPr="000846FD">
        <w:rPr>
          <w:rFonts w:eastAsia="Times New Roman"/>
          <w:bCs/>
          <w:snapToGrid w:val="0"/>
          <w:szCs w:val="24"/>
          <w:lang w:val="en-GB" w:eastAsia="en-US"/>
        </w:rPr>
        <w:t xml:space="preserve"> can be directly applied in this case since the three first vibration periods of the structure are included in the constant velocity branch of the horizontal pseudo-acceleration response spectrum, and relevant associated EMMs are nearly equal to 100% of the total seismic masses, as commented in Section 4.1. This allows considering the maximum drifts obtained from the elastic time-history analysis at the BDE and MCE as an acceptable approximation of the corresponding maximum inelastic drifts, thus providing a more general meaning to the seismic performance evaluation in terms of displacement response. T</w:t>
      </w:r>
      <w:r w:rsidRPr="000846FD">
        <w:rPr>
          <w:rFonts w:eastAsia="Times New Roman"/>
          <w:snapToGrid w:val="0"/>
          <w:szCs w:val="24"/>
          <w:lang w:val="en-GB" w:eastAsia="en-US"/>
        </w:rPr>
        <w:t xml:space="preserve">he peak </w:t>
      </w:r>
      <w:r w:rsidRPr="000846FD">
        <w:rPr>
          <w:rFonts w:eastAsia="Times New Roman"/>
          <w:bCs/>
          <w:i/>
          <w:snapToGrid w:val="0"/>
          <w:szCs w:val="24"/>
          <w:lang w:val="en-GB" w:eastAsia="en-US"/>
        </w:rPr>
        <w:t>d</w:t>
      </w:r>
      <w:r w:rsidRPr="000846FD">
        <w:rPr>
          <w:rFonts w:eastAsia="Times New Roman"/>
          <w:bCs/>
          <w:i/>
          <w:snapToGrid w:val="0"/>
          <w:szCs w:val="24"/>
          <w:vertAlign w:val="subscript"/>
          <w:lang w:val="en-GB" w:eastAsia="en-US"/>
        </w:rPr>
        <w:t>rp</w:t>
      </w:r>
      <w:r w:rsidRPr="000846FD">
        <w:rPr>
          <w:rFonts w:eastAsia="Times New Roman"/>
          <w:bCs/>
          <w:snapToGrid w:val="0"/>
          <w:szCs w:val="24"/>
          <w:lang w:val="en-GB" w:eastAsia="en-US"/>
        </w:rPr>
        <w:t xml:space="preserve"> values at the BDE and the MCE are equal to 1.18% </w:t>
      </w:r>
      <w:r w:rsidRPr="000846FD">
        <w:rPr>
          <w:rFonts w:eastAsia="Times New Roman"/>
          <w:snapToGrid w:val="0"/>
          <w:szCs w:val="24"/>
          <w:lang w:val="en-GB" w:eastAsia="en-US"/>
        </w:rPr>
        <w:t xml:space="preserve">and 1.55%, respectively. Both values are greater than the IO-related limit of 1%, highlighting moderate (BDE) and medium (MCE) damage levels of panels (consisting in local fissures and cracks, dislocations and out of plumbs, etc.), as usually planned for the two highest earthquake levels in a conventional design. At the same time, </w:t>
      </w:r>
      <w:r w:rsidRPr="000846FD">
        <w:rPr>
          <w:rFonts w:eastAsia="Times New Roman"/>
          <w:bCs/>
          <w:iCs/>
          <w:snapToGrid w:val="0"/>
          <w:szCs w:val="24"/>
          <w:lang w:val="en-US" w:eastAsia="en-US"/>
        </w:rPr>
        <w:t xml:space="preserve">even considering that </w:t>
      </w:r>
      <w:r w:rsidRPr="000846FD">
        <w:rPr>
          <w:rFonts w:eastAsia="Times New Roman"/>
          <w:snapToGrid w:val="0"/>
          <w:szCs w:val="24"/>
          <w:lang w:val="en-GB" w:eastAsia="en-US"/>
        </w:rPr>
        <w:t xml:space="preserve">these values could slightly underestimate the actual inelastic drifts, due to the inherent approximations of the “equal displacement rule”, they are far below the </w:t>
      </w:r>
      <w:r w:rsidRPr="000846FD">
        <w:rPr>
          <w:rFonts w:eastAsia="Times New Roman"/>
          <w:bCs/>
          <w:iCs/>
          <w:snapToGrid w:val="0"/>
          <w:szCs w:val="24"/>
          <w:lang w:val="en-US" w:eastAsia="en-US"/>
        </w:rPr>
        <w:t xml:space="preserve">2.75% </w:t>
      </w:r>
      <w:r w:rsidRPr="000846FD">
        <w:rPr>
          <w:rFonts w:eastAsia="Times New Roman"/>
          <w:snapToGrid w:val="0"/>
          <w:szCs w:val="24"/>
          <w:lang w:val="en-GB" w:eastAsia="en-US"/>
        </w:rPr>
        <w:t xml:space="preserve">drift capacity of the </w:t>
      </w:r>
      <w:r w:rsidRPr="000846FD">
        <w:rPr>
          <w:rFonts w:eastAsia="Times New Roman"/>
          <w:bCs/>
          <w:iCs/>
          <w:snapToGrid w:val="0"/>
          <w:szCs w:val="24"/>
          <w:lang w:val="en-US" w:eastAsia="en-US"/>
        </w:rPr>
        <w:t>pinned slotted connections adopted for the panels. This allows meeting with wide margins the requirements of the Life Safety (LS) performance level for these elements, which are the most important non-structural components of the building, both from an architectural and an economic viewpoint. The performance in</w:t>
      </w:r>
      <w:r w:rsidRPr="000846FD">
        <w:rPr>
          <w:rFonts w:eastAsia="Times New Roman"/>
          <w:bCs/>
          <w:snapToGrid w:val="0"/>
          <w:szCs w:val="24"/>
          <w:lang w:val="en-GB" w:eastAsia="en-US"/>
        </w:rPr>
        <w:t xml:space="preserve"> terms of bending-compression stress states of columns deduced from the results of the elastic time-history analysis is synthesized by a coefficient of exploitation, </w:t>
      </w:r>
      <w:r w:rsidRPr="000846FD">
        <w:rPr>
          <w:rFonts w:eastAsia="Times New Roman"/>
          <w:bCs/>
          <w:snapToGrid w:val="0"/>
          <w:szCs w:val="24"/>
          <w:lang w:val="en-GB" w:eastAsia="en-US"/>
        </w:rPr>
        <w:sym w:font="Symbol" w:char="F072"/>
      </w:r>
      <w:r w:rsidRPr="000846FD">
        <w:rPr>
          <w:rFonts w:eastAsia="Times New Roman"/>
          <w:bCs/>
          <w:snapToGrid w:val="0"/>
          <w:szCs w:val="24"/>
          <w:lang w:val="en-GB" w:eastAsia="en-US"/>
        </w:rPr>
        <w:t xml:space="preserve"> (given by the ratio of the maximum combined biaxial bending moments to the corresponding ultimate biaxial bending moment capacity computed for the design axial force), equal to </w:t>
      </w:r>
      <w:r w:rsidRPr="000846FD">
        <w:rPr>
          <w:rFonts w:eastAsia="Times New Roman"/>
          <w:snapToGrid w:val="0"/>
          <w:szCs w:val="24"/>
          <w:lang w:val="en-GB" w:eastAsia="en-US"/>
        </w:rPr>
        <w:t xml:space="preserve">2.38 (BDE) and 3.13 (MCE), thus identifying a medium (BDE) and medium-to-high (MCE) potential plastic demand. </w:t>
      </w:r>
      <w:r w:rsidRPr="000846FD">
        <w:rPr>
          <w:rFonts w:eastAsia="Times New Roman"/>
          <w:bCs/>
          <w:snapToGrid w:val="0"/>
          <w:szCs w:val="24"/>
          <w:lang w:val="en-GB" w:eastAsia="en-US"/>
        </w:rPr>
        <w:t xml:space="preserve">By dividing </w:t>
      </w:r>
      <w:r w:rsidRPr="000846FD">
        <w:rPr>
          <w:rFonts w:eastAsia="Times New Roman"/>
          <w:bCs/>
          <w:snapToGrid w:val="0"/>
          <w:szCs w:val="24"/>
          <w:lang w:val="en-GB" w:eastAsia="en-US"/>
        </w:rPr>
        <w:sym w:font="Symbol" w:char="F072"/>
      </w:r>
      <w:r w:rsidRPr="000846FD">
        <w:rPr>
          <w:rFonts w:eastAsia="Times New Roman"/>
          <w:bCs/>
          <w:snapToGrid w:val="0"/>
          <w:szCs w:val="24"/>
          <w:lang w:val="en-GB" w:eastAsia="en-US"/>
        </w:rPr>
        <w:t xml:space="preserve"> by the </w:t>
      </w:r>
      <w:r w:rsidRPr="000846FD">
        <w:rPr>
          <w:rFonts w:eastAsia="Times New Roman"/>
          <w:snapToGrid w:val="0"/>
          <w:szCs w:val="24"/>
          <w:lang w:val="en-GB" w:eastAsia="en-US"/>
        </w:rPr>
        <w:t xml:space="preserve">behaviour factor </w:t>
      </w:r>
      <w:r w:rsidRPr="000846FD">
        <w:rPr>
          <w:rFonts w:eastAsia="Times New Roman"/>
          <w:i/>
          <w:snapToGrid w:val="0"/>
          <w:szCs w:val="24"/>
          <w:lang w:val="en-GB" w:eastAsia="en-US"/>
        </w:rPr>
        <w:t>q</w:t>
      </w:r>
      <w:r w:rsidRPr="000846FD">
        <w:rPr>
          <w:rFonts w:eastAsia="Times New Roman"/>
          <w:snapToGrid w:val="0"/>
          <w:szCs w:val="24"/>
          <w:lang w:val="en-GB" w:eastAsia="en-US"/>
        </w:rPr>
        <w:t xml:space="preserve">=2.5, a value </w:t>
      </w:r>
      <w:r w:rsidRPr="000846FD">
        <w:rPr>
          <w:rFonts w:eastAsia="Times New Roman"/>
          <w:bCs/>
          <w:snapToGrid w:val="0"/>
          <w:szCs w:val="24"/>
          <w:lang w:val="en-GB" w:eastAsia="en-US"/>
        </w:rPr>
        <w:t>0.95, i.e. very near to 1 (representing the normative nominal safety condition), is obtained at the BDE, as a consequence of the optimization of the section size and reinforcement of columns planned in the design analysis.</w:t>
      </w:r>
    </w:p>
    <w:p w:rsidR="000846FD" w:rsidRPr="000846FD" w:rsidRDefault="000846FD" w:rsidP="000846FD">
      <w:pPr>
        <w:widowControl w:val="0"/>
        <w:spacing w:after="0" w:line="240" w:lineRule="auto"/>
        <w:jc w:val="both"/>
        <w:rPr>
          <w:rFonts w:eastAsia="Times New Roman"/>
          <w:snapToGrid w:val="0"/>
          <w:szCs w:val="24"/>
          <w:lang w:val="en-GB" w:eastAsia="en-US"/>
        </w:rPr>
      </w:pPr>
      <w:r w:rsidRPr="000846FD">
        <w:rPr>
          <w:rFonts w:eastAsia="Times New Roman"/>
          <w:snapToGrid w:val="0"/>
          <w:szCs w:val="24"/>
          <w:lang w:val="en-GB" w:eastAsia="en-US"/>
        </w:rPr>
        <w:t>The response of the girder-to-column friction contact elements is assessed at the MCE, to check the consequences of the maximum relative displacements between the two members at the highest input seismic level. The peak displacements result to be equal to about 50 mm, that is, below the 52 mm-wide available gap existing, in any direction, between the Ø 36 steel dowel restrainer and the corresponding cylindrical slot encased in the terminal zone of the girder, with diameter of 140 mm. Therefore, no contact occurs between pins and slots up to the most demanding relative displacement response conditions.</w:t>
      </w:r>
    </w:p>
    <w:p w:rsidR="000846FD" w:rsidRPr="000846FD" w:rsidRDefault="000846FD" w:rsidP="000846FD">
      <w:pPr>
        <w:widowControl w:val="0"/>
        <w:spacing w:after="0" w:line="240" w:lineRule="auto"/>
        <w:jc w:val="both"/>
        <w:rPr>
          <w:rFonts w:eastAsia="Times New Roman"/>
          <w:snapToGrid w:val="0"/>
          <w:szCs w:val="24"/>
          <w:lang w:val="en-GB" w:eastAsia="en-US"/>
        </w:rPr>
      </w:pPr>
      <w:r w:rsidRPr="000846FD">
        <w:rPr>
          <w:rFonts w:eastAsia="Times New Roman"/>
          <w:snapToGrid w:val="0"/>
          <w:szCs w:val="24"/>
          <w:lang w:val="en-GB" w:eastAsia="en-US"/>
        </w:rPr>
        <w:t>The estimated total cost of the structure for this design hypothesis, not including plants and finishes, amounts to about 610,000 Euros.</w:t>
      </w:r>
    </w:p>
    <w:p w:rsidR="000846FD" w:rsidRPr="000846FD" w:rsidRDefault="000846FD" w:rsidP="000846FD">
      <w:pPr>
        <w:widowControl w:val="0"/>
        <w:tabs>
          <w:tab w:val="left" w:pos="0"/>
        </w:tabs>
        <w:suppressAutoHyphens/>
        <w:spacing w:after="0" w:line="240" w:lineRule="auto"/>
        <w:jc w:val="both"/>
        <w:rPr>
          <w:rFonts w:eastAsia="Times New Roman"/>
          <w:snapToGrid w:val="0"/>
          <w:szCs w:val="24"/>
          <w:lang w:val="en-US" w:eastAsia="en-US"/>
        </w:rPr>
      </w:pPr>
    </w:p>
    <w:p w:rsidR="000846FD" w:rsidRPr="000846FD" w:rsidRDefault="000846FD" w:rsidP="000846FD">
      <w:pPr>
        <w:widowControl w:val="0"/>
        <w:tabs>
          <w:tab w:val="left" w:pos="0"/>
        </w:tabs>
        <w:suppressAutoHyphens/>
        <w:spacing w:after="0" w:line="240" w:lineRule="auto"/>
        <w:jc w:val="both"/>
        <w:rPr>
          <w:rFonts w:eastAsia="Times New Roman"/>
          <w:snapToGrid w:val="0"/>
          <w:szCs w:val="24"/>
          <w:lang w:val="en-US" w:eastAsia="en-US"/>
        </w:rPr>
      </w:pPr>
    </w:p>
    <w:p w:rsidR="000846FD" w:rsidRPr="000846FD" w:rsidRDefault="000846FD" w:rsidP="000846FD">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0846FD">
        <w:rPr>
          <w:rFonts w:eastAsia="Times New Roman"/>
          <w:b/>
          <w:caps/>
          <w:snapToGrid w:val="0"/>
          <w:szCs w:val="24"/>
          <w:lang w:val="en-US" w:eastAsia="en-US"/>
        </w:rPr>
        <w:t xml:space="preserve">5. </w:t>
      </w:r>
      <w:r w:rsidRPr="000846FD">
        <w:rPr>
          <w:rFonts w:eastAsia="Times New Roman"/>
          <w:b/>
          <w:bCs/>
          <w:caps/>
          <w:snapToGrid w:val="0"/>
          <w:szCs w:val="24"/>
          <w:lang w:val="en-US" w:eastAsia="en-US"/>
        </w:rPr>
        <w:t xml:space="preserve">Design solution incorporating a dissipative bracing (DB) system </w:t>
      </w:r>
      <w:r w:rsidRPr="000846FD">
        <w:rPr>
          <w:rFonts w:eastAsia="Times New Roman"/>
          <w:b/>
          <w:caps/>
          <w:snapToGrid w:val="0"/>
          <w:szCs w:val="24"/>
          <w:lang w:val="en-US" w:eastAsia="en-US"/>
        </w:rPr>
        <w:t xml:space="preserve">equipped with fluid viscous dampers  </w:t>
      </w:r>
    </w:p>
    <w:p w:rsidR="000846FD" w:rsidRPr="000846FD" w:rsidRDefault="000846FD" w:rsidP="000846FD">
      <w:pPr>
        <w:widowControl w:val="0"/>
        <w:tabs>
          <w:tab w:val="left" w:pos="0"/>
        </w:tabs>
        <w:suppressAutoHyphens/>
        <w:spacing w:after="0" w:line="240" w:lineRule="auto"/>
        <w:jc w:val="both"/>
        <w:rPr>
          <w:rFonts w:eastAsia="Times New Roman"/>
          <w:snapToGrid w:val="0"/>
          <w:szCs w:val="24"/>
          <w:lang w:val="en-US" w:eastAsia="en-US"/>
        </w:rPr>
      </w:pPr>
    </w:p>
    <w:p w:rsidR="000846FD" w:rsidRPr="000846FD" w:rsidRDefault="000846FD" w:rsidP="000846FD">
      <w:pPr>
        <w:keepNext/>
        <w:widowControl w:val="0"/>
        <w:tabs>
          <w:tab w:val="left" w:pos="-1440"/>
          <w:tab w:val="center" w:pos="4680"/>
        </w:tabs>
        <w:suppressAutoHyphens/>
        <w:spacing w:after="0" w:line="240" w:lineRule="auto"/>
        <w:jc w:val="both"/>
        <w:outlineLvl w:val="1"/>
        <w:rPr>
          <w:rFonts w:eastAsia="Times New Roman"/>
          <w:b/>
          <w:bCs/>
          <w:i/>
          <w:snapToGrid w:val="0"/>
          <w:szCs w:val="24"/>
          <w:lang w:val="en-GB" w:eastAsia="en-US"/>
        </w:rPr>
      </w:pPr>
      <w:r w:rsidRPr="000846FD">
        <w:rPr>
          <w:rFonts w:eastAsia="Times New Roman"/>
          <w:b/>
          <w:i/>
          <w:snapToGrid w:val="0"/>
          <w:szCs w:val="24"/>
          <w:lang w:val="en-US" w:eastAsia="en-US"/>
        </w:rPr>
        <w:t xml:space="preserve">5.1 </w:t>
      </w:r>
      <w:r w:rsidRPr="000846FD">
        <w:rPr>
          <w:rFonts w:eastAsia="Times New Roman"/>
          <w:b/>
          <w:bCs/>
          <w:i/>
          <w:snapToGrid w:val="0"/>
          <w:szCs w:val="24"/>
          <w:lang w:val="en-GB" w:eastAsia="en-US"/>
        </w:rPr>
        <w:t>Characteristics and Design of the DB System</w:t>
      </w:r>
    </w:p>
    <w:p w:rsidR="000846FD" w:rsidRPr="000846FD" w:rsidRDefault="000846FD" w:rsidP="000846FD">
      <w:pPr>
        <w:widowControl w:val="0"/>
        <w:spacing w:after="0" w:line="240" w:lineRule="auto"/>
        <w:jc w:val="both"/>
        <w:rPr>
          <w:rFonts w:eastAsia="Times New Roman"/>
          <w:snapToGrid w:val="0"/>
          <w:szCs w:val="24"/>
          <w:lang w:val="en-US" w:eastAsia="en-US"/>
        </w:rPr>
      </w:pPr>
    </w:p>
    <w:p w:rsidR="000846FD" w:rsidRPr="000846FD" w:rsidRDefault="000846FD" w:rsidP="000846FD">
      <w:pPr>
        <w:widowControl w:val="0"/>
        <w:spacing w:after="0" w:line="240" w:lineRule="auto"/>
        <w:jc w:val="both"/>
        <w:rPr>
          <w:rFonts w:eastAsia="Times New Roman"/>
          <w:bCs/>
          <w:snapToGrid w:val="0"/>
          <w:szCs w:val="24"/>
          <w:lang w:val="en-GB" w:eastAsia="en-US"/>
        </w:rPr>
      </w:pPr>
      <w:r w:rsidRPr="000846FD">
        <w:rPr>
          <w:rFonts w:eastAsia="Times New Roman"/>
          <w:bCs/>
          <w:snapToGrid w:val="0"/>
          <w:szCs w:val="24"/>
          <w:lang w:val="en-GB" w:eastAsia="en-US"/>
        </w:rPr>
        <w:t xml:space="preserve">The dissipative bracing (DB) system considered for this second solution, originally proposed by the authors both for new design and seismic retrofit of frame structures (Sorace and Terenzi 2008), belongs to the class of viscous dissipative technologies, increasingly emerging in the field of passive protection strategies. As observed in the Introduction, the application of this system to the design of new prefab R/C buildings is explored for the first time within the study reported here. </w:t>
      </w:r>
    </w:p>
    <w:p w:rsidR="000846FD" w:rsidRPr="000846FD" w:rsidRDefault="000846FD" w:rsidP="000846FD">
      <w:pPr>
        <w:widowControl w:val="0"/>
        <w:spacing w:after="0" w:line="240" w:lineRule="auto"/>
        <w:jc w:val="both"/>
        <w:rPr>
          <w:rFonts w:eastAsia="Times New Roman"/>
          <w:bCs/>
          <w:snapToGrid w:val="0"/>
          <w:szCs w:val="24"/>
          <w:lang w:val="en-GB" w:eastAsia="en-US"/>
        </w:rPr>
      </w:pPr>
      <w:r w:rsidRPr="000846FD">
        <w:rPr>
          <w:rFonts w:eastAsia="Times New Roman"/>
          <w:bCs/>
          <w:snapToGrid w:val="0"/>
          <w:szCs w:val="24"/>
          <w:lang w:val="en-GB" w:eastAsia="en-US"/>
        </w:rPr>
        <w:t xml:space="preserve">The fluid-viscous (FV) spring-dampers mounted in the DB system, detailed in (Sorace and Terenzi 2001), produce their damping action by means of a compressible silicone fluid flowing through the thin space found between the piston head and the internal casing. The </w:t>
      </w:r>
      <w:r w:rsidRPr="000846FD">
        <w:rPr>
          <w:rFonts w:eastAsia="Times New Roman"/>
          <w:bCs/>
          <w:i/>
          <w:snapToGrid w:val="0"/>
          <w:szCs w:val="24"/>
          <w:lang w:val="en-GB" w:eastAsia="en-US"/>
        </w:rPr>
        <w:t>F</w:t>
      </w:r>
      <w:r w:rsidRPr="000846FD">
        <w:rPr>
          <w:rFonts w:eastAsia="Times New Roman"/>
          <w:bCs/>
          <w:i/>
          <w:snapToGrid w:val="0"/>
          <w:szCs w:val="24"/>
          <w:vertAlign w:val="subscript"/>
          <w:lang w:val="en-GB" w:eastAsia="en-US"/>
        </w:rPr>
        <w:t>D</w:t>
      </w:r>
      <w:r w:rsidRPr="000846FD">
        <w:rPr>
          <w:rFonts w:eastAsia="Times New Roman"/>
          <w:bCs/>
          <w:snapToGrid w:val="0"/>
          <w:szCs w:val="24"/>
          <w:lang w:val="en-GB" w:eastAsia="en-US"/>
        </w:rPr>
        <w:t>(</w:t>
      </w:r>
      <w:r w:rsidRPr="000846FD">
        <w:rPr>
          <w:rFonts w:eastAsia="Times New Roman"/>
          <w:bCs/>
          <w:i/>
          <w:snapToGrid w:val="0"/>
          <w:szCs w:val="24"/>
          <w:lang w:val="en-GB" w:eastAsia="en-US"/>
        </w:rPr>
        <w:t>t</w:t>
      </w:r>
      <w:r w:rsidRPr="000846FD">
        <w:rPr>
          <w:rFonts w:eastAsia="Times New Roman"/>
          <w:bCs/>
          <w:snapToGrid w:val="0"/>
          <w:szCs w:val="24"/>
          <w:lang w:val="en-GB" w:eastAsia="en-US"/>
        </w:rPr>
        <w:t xml:space="preserve">) damping and </w:t>
      </w:r>
      <w:r w:rsidRPr="000846FD">
        <w:rPr>
          <w:rFonts w:eastAsia="Times New Roman"/>
          <w:bCs/>
          <w:i/>
          <w:snapToGrid w:val="0"/>
          <w:szCs w:val="24"/>
          <w:lang w:val="en-GB" w:eastAsia="en-US"/>
        </w:rPr>
        <w:t>F</w:t>
      </w:r>
      <w:r w:rsidRPr="000846FD">
        <w:rPr>
          <w:rFonts w:eastAsia="Times New Roman"/>
          <w:bCs/>
          <w:i/>
          <w:snapToGrid w:val="0"/>
          <w:szCs w:val="24"/>
          <w:vertAlign w:val="subscript"/>
          <w:lang w:val="en-GB" w:eastAsia="en-US"/>
        </w:rPr>
        <w:t>ne</w:t>
      </w:r>
      <w:r w:rsidRPr="000846FD">
        <w:rPr>
          <w:rFonts w:eastAsia="Times New Roman"/>
          <w:bCs/>
          <w:snapToGrid w:val="0"/>
          <w:szCs w:val="24"/>
          <w:lang w:val="en-GB" w:eastAsia="en-US"/>
        </w:rPr>
        <w:t>(</w:t>
      </w:r>
      <w:r w:rsidRPr="000846FD">
        <w:rPr>
          <w:rFonts w:eastAsia="Times New Roman"/>
          <w:bCs/>
          <w:i/>
          <w:snapToGrid w:val="0"/>
          <w:szCs w:val="24"/>
          <w:lang w:val="en-GB" w:eastAsia="en-US"/>
        </w:rPr>
        <w:t>t</w:t>
      </w:r>
      <w:r w:rsidRPr="000846FD">
        <w:rPr>
          <w:rFonts w:eastAsia="Times New Roman"/>
          <w:bCs/>
          <w:snapToGrid w:val="0"/>
          <w:szCs w:val="24"/>
          <w:lang w:val="en-GB" w:eastAsia="en-US"/>
        </w:rPr>
        <w:t>) non-linear elastic reaction forces corresponding to the damper and spring functions of the devices are effectively simulated by the following analytical expressions (Peckan et al. 1995, Sorace and Terenzi 2008):</w:t>
      </w: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AB14C3" w:rsidP="000846FD">
      <w:pPr>
        <w:widowControl w:val="0"/>
        <w:tabs>
          <w:tab w:val="left" w:pos="9356"/>
        </w:tabs>
        <w:spacing w:after="0" w:line="240" w:lineRule="auto"/>
        <w:jc w:val="both"/>
        <w:rPr>
          <w:rFonts w:eastAsia="Times New Roman"/>
          <w:snapToGrid w:val="0"/>
          <w:szCs w:val="24"/>
          <w:lang w:val="en-GB" w:eastAsia="en-US"/>
        </w:rPr>
      </w:pPr>
      <m:oMath>
        <m:sSub>
          <m:sSubPr>
            <m:ctrlPr>
              <w:rPr>
                <w:rFonts w:ascii="Cambria Math" w:eastAsia="Times New Roman" w:hAnsi="Cambria Math"/>
                <w:i/>
                <w:snapToGrid w:val="0"/>
                <w:szCs w:val="24"/>
                <w:lang w:val="en-GB" w:eastAsia="en-US"/>
              </w:rPr>
            </m:ctrlPr>
          </m:sSubPr>
          <m:e>
            <m:r>
              <w:rPr>
                <w:rFonts w:ascii="Cambria Math" w:eastAsia="Times New Roman" w:hAnsi="Cambria Math"/>
                <w:snapToGrid w:val="0"/>
                <w:szCs w:val="24"/>
                <w:lang w:val="en-GB" w:eastAsia="en-US"/>
              </w:rPr>
              <m:t>F</m:t>
            </m:r>
          </m:e>
          <m:sub>
            <m:r>
              <w:rPr>
                <w:rFonts w:ascii="Cambria Math" w:eastAsia="Times New Roman" w:hAnsi="Cambria Math"/>
                <w:snapToGrid w:val="0"/>
                <w:szCs w:val="24"/>
                <w:lang w:val="en-GB" w:eastAsia="en-US"/>
              </w:rPr>
              <m:t>D</m:t>
            </m:r>
          </m:sub>
        </m:sSub>
        <m:d>
          <m:dPr>
            <m:ctrlPr>
              <w:rPr>
                <w:rFonts w:ascii="Cambria Math" w:eastAsia="Times New Roman" w:hAnsi="Cambria Math"/>
                <w:i/>
                <w:snapToGrid w:val="0"/>
                <w:szCs w:val="24"/>
                <w:lang w:val="en-GB" w:eastAsia="en-US"/>
              </w:rPr>
            </m:ctrlPr>
          </m:dPr>
          <m:e>
            <m:r>
              <w:rPr>
                <w:rFonts w:ascii="Cambria Math" w:eastAsia="Times New Roman" w:hAnsi="Cambria Math"/>
                <w:snapToGrid w:val="0"/>
                <w:szCs w:val="24"/>
                <w:lang w:val="en-GB" w:eastAsia="en-US"/>
              </w:rPr>
              <m:t>t</m:t>
            </m:r>
          </m:e>
        </m:d>
        <m:r>
          <w:rPr>
            <w:rFonts w:ascii="Cambria Math" w:eastAsia="Times New Roman" w:hAnsi="Cambria Math"/>
            <w:snapToGrid w:val="0"/>
            <w:szCs w:val="24"/>
            <w:lang w:val="en-GB" w:eastAsia="en-US"/>
          </w:rPr>
          <m:t>=c∙</m:t>
        </m:r>
        <m:r>
          <m:rPr>
            <m:sty m:val="p"/>
          </m:rPr>
          <w:rPr>
            <w:rFonts w:ascii="Cambria Math" w:eastAsia="Times New Roman" w:hAnsi="Cambria Math"/>
            <w:snapToGrid w:val="0"/>
            <w:szCs w:val="24"/>
            <w:lang w:val="en-GB" w:eastAsia="en-US"/>
          </w:rPr>
          <m:t>sgn</m:t>
        </m:r>
        <m:d>
          <m:dPr>
            <m:begChr m:val="["/>
            <m:endChr m:val="]"/>
            <m:ctrlPr>
              <w:rPr>
                <w:rFonts w:ascii="Cambria Math" w:eastAsia="Times New Roman" w:hAnsi="Cambria Math"/>
                <w:i/>
                <w:snapToGrid w:val="0"/>
                <w:szCs w:val="24"/>
                <w:lang w:val="en-GB" w:eastAsia="en-US"/>
              </w:rPr>
            </m:ctrlPr>
          </m:dPr>
          <m:e>
            <m:acc>
              <m:accPr>
                <m:chr m:val="̇"/>
                <m:ctrlPr>
                  <w:rPr>
                    <w:rFonts w:ascii="Cambria Math" w:eastAsia="Times New Roman" w:hAnsi="Cambria Math"/>
                    <w:i/>
                    <w:snapToGrid w:val="0"/>
                    <w:szCs w:val="24"/>
                    <w:lang w:val="en-GB" w:eastAsia="en-US"/>
                  </w:rPr>
                </m:ctrlPr>
              </m:accPr>
              <m:e>
                <m:r>
                  <w:rPr>
                    <w:rFonts w:ascii="Cambria Math" w:eastAsia="Times New Roman" w:hAnsi="Cambria Math"/>
                    <w:snapToGrid w:val="0"/>
                    <w:szCs w:val="24"/>
                    <w:lang w:val="en-GB" w:eastAsia="en-US"/>
                  </w:rPr>
                  <m:t>x</m:t>
                </m:r>
              </m:e>
            </m:acc>
            <m:r>
              <w:rPr>
                <w:rFonts w:ascii="Cambria Math" w:eastAsia="Times New Roman" w:hAnsi="Cambria Math"/>
                <w:snapToGrid w:val="0"/>
                <w:szCs w:val="24"/>
                <w:lang w:val="en-GB" w:eastAsia="en-US"/>
              </w:rPr>
              <m:t>(t)</m:t>
            </m:r>
          </m:e>
        </m:d>
        <m:sSup>
          <m:sSupPr>
            <m:ctrlPr>
              <w:rPr>
                <w:rFonts w:ascii="Cambria Math" w:eastAsia="Times New Roman" w:hAnsi="Cambria Math"/>
                <w:i/>
                <w:snapToGrid w:val="0"/>
                <w:szCs w:val="24"/>
                <w:lang w:val="en-GB" w:eastAsia="en-US"/>
              </w:rPr>
            </m:ctrlPr>
          </m:sSupPr>
          <m:e>
            <m:d>
              <m:dPr>
                <m:begChr m:val="|"/>
                <m:endChr m:val="|"/>
                <m:ctrlPr>
                  <w:rPr>
                    <w:rFonts w:ascii="Cambria Math" w:eastAsia="Times New Roman" w:hAnsi="Cambria Math"/>
                    <w:i/>
                    <w:snapToGrid w:val="0"/>
                    <w:szCs w:val="24"/>
                    <w:lang w:val="en-GB" w:eastAsia="en-US"/>
                  </w:rPr>
                </m:ctrlPr>
              </m:dPr>
              <m:e>
                <m:acc>
                  <m:accPr>
                    <m:chr m:val="̇"/>
                    <m:ctrlPr>
                      <w:rPr>
                        <w:rFonts w:ascii="Cambria Math" w:eastAsia="Times New Roman" w:hAnsi="Cambria Math"/>
                        <w:i/>
                        <w:snapToGrid w:val="0"/>
                        <w:szCs w:val="24"/>
                        <w:lang w:val="en-GB" w:eastAsia="en-US"/>
                      </w:rPr>
                    </m:ctrlPr>
                  </m:accPr>
                  <m:e>
                    <m:r>
                      <w:rPr>
                        <w:rFonts w:ascii="Cambria Math" w:eastAsia="Times New Roman" w:hAnsi="Cambria Math"/>
                        <w:snapToGrid w:val="0"/>
                        <w:szCs w:val="24"/>
                        <w:lang w:val="en-GB" w:eastAsia="en-US"/>
                      </w:rPr>
                      <m:t>x</m:t>
                    </m:r>
                  </m:e>
                </m:acc>
                <m:r>
                  <w:rPr>
                    <w:rFonts w:ascii="Cambria Math" w:eastAsia="Times New Roman" w:hAnsi="Cambria Math"/>
                    <w:snapToGrid w:val="0"/>
                    <w:szCs w:val="24"/>
                    <w:lang w:val="en-GB" w:eastAsia="en-US"/>
                  </w:rPr>
                  <m:t>(t)</m:t>
                </m:r>
              </m:e>
            </m:d>
          </m:e>
          <m:sup>
            <m:r>
              <m:rPr>
                <m:sty m:val="p"/>
              </m:rPr>
              <w:rPr>
                <w:rFonts w:ascii="Cambria Math" w:eastAsia="Times New Roman" w:hAnsi="Cambria Math"/>
                <w:snapToGrid w:val="0"/>
                <w:szCs w:val="24"/>
                <w:lang w:val="en-GB" w:eastAsia="en-US"/>
              </w:rPr>
              <w:sym w:font="Symbol" w:char="F067"/>
            </m:r>
          </m:sup>
        </m:sSup>
      </m:oMath>
      <w:r w:rsidR="000846FD" w:rsidRPr="000846FD">
        <w:rPr>
          <w:rFonts w:eastAsia="Times New Roman"/>
          <w:snapToGrid w:val="0"/>
          <w:szCs w:val="24"/>
          <w:lang w:val="en-GB" w:eastAsia="en-US"/>
        </w:rPr>
        <w:tab/>
        <w:t>(1)</w:t>
      </w: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AB14C3" w:rsidP="000846FD">
      <w:pPr>
        <w:widowControl w:val="0"/>
        <w:tabs>
          <w:tab w:val="left" w:pos="9356"/>
        </w:tabs>
        <w:spacing w:after="0" w:line="240" w:lineRule="auto"/>
        <w:jc w:val="both"/>
        <w:rPr>
          <w:rFonts w:eastAsia="Times New Roman"/>
          <w:snapToGrid w:val="0"/>
          <w:szCs w:val="24"/>
          <w:lang w:val="en-GB" w:eastAsia="en-US"/>
        </w:rPr>
      </w:pPr>
      <m:oMath>
        <m:sSub>
          <m:sSubPr>
            <m:ctrlPr>
              <w:rPr>
                <w:rFonts w:ascii="Cambria Math" w:eastAsia="Times New Roman" w:hAnsi="Cambria Math"/>
                <w:i/>
                <w:snapToGrid w:val="0"/>
                <w:szCs w:val="24"/>
                <w:lang w:val="en-GB" w:eastAsia="en-US"/>
              </w:rPr>
            </m:ctrlPr>
          </m:sSubPr>
          <m:e>
            <m:r>
              <w:rPr>
                <w:rFonts w:ascii="Cambria Math" w:eastAsia="Times New Roman" w:hAnsi="Cambria Math"/>
                <w:snapToGrid w:val="0"/>
                <w:szCs w:val="24"/>
                <w:lang w:val="en-GB" w:eastAsia="en-US"/>
              </w:rPr>
              <m:t>F</m:t>
            </m:r>
          </m:e>
          <m:sub>
            <m:r>
              <w:rPr>
                <w:rFonts w:ascii="Cambria Math" w:eastAsia="Times New Roman" w:hAnsi="Cambria Math"/>
                <w:snapToGrid w:val="0"/>
                <w:szCs w:val="24"/>
                <w:lang w:val="en-GB" w:eastAsia="en-US"/>
              </w:rPr>
              <m:t>ne</m:t>
            </m:r>
          </m:sub>
        </m:sSub>
        <m:d>
          <m:dPr>
            <m:ctrlPr>
              <w:rPr>
                <w:rFonts w:ascii="Cambria Math" w:eastAsia="Times New Roman" w:hAnsi="Cambria Math"/>
                <w:i/>
                <w:snapToGrid w:val="0"/>
                <w:szCs w:val="24"/>
                <w:lang w:val="en-GB" w:eastAsia="en-US"/>
              </w:rPr>
            </m:ctrlPr>
          </m:dPr>
          <m:e>
            <m:r>
              <w:rPr>
                <w:rFonts w:ascii="Cambria Math" w:eastAsia="Times New Roman" w:hAnsi="Cambria Math"/>
                <w:snapToGrid w:val="0"/>
                <w:szCs w:val="24"/>
                <w:lang w:val="en-GB" w:eastAsia="en-US"/>
              </w:rPr>
              <m:t>t</m:t>
            </m:r>
          </m:e>
        </m:d>
        <m:r>
          <w:rPr>
            <w:rFonts w:ascii="Cambria Math" w:eastAsia="Times New Roman" w:hAnsi="Cambria Math"/>
            <w:snapToGrid w:val="0"/>
            <w:szCs w:val="24"/>
            <w:lang w:val="en-GB" w:eastAsia="en-US"/>
          </w:rPr>
          <m:t>=</m:t>
        </m:r>
        <m:sSub>
          <m:sSubPr>
            <m:ctrlPr>
              <w:rPr>
                <w:rFonts w:ascii="Cambria Math" w:eastAsia="Times New Roman" w:hAnsi="Cambria Math"/>
                <w:i/>
                <w:snapToGrid w:val="0"/>
                <w:szCs w:val="24"/>
                <w:lang w:val="en-GB" w:eastAsia="en-US"/>
              </w:rPr>
            </m:ctrlPr>
          </m:sSubPr>
          <m:e>
            <m:r>
              <w:rPr>
                <w:rFonts w:ascii="Cambria Math" w:eastAsia="Times New Roman" w:hAnsi="Cambria Math"/>
                <w:snapToGrid w:val="0"/>
                <w:szCs w:val="24"/>
                <w:lang w:val="en-GB" w:eastAsia="en-US"/>
              </w:rPr>
              <m:t>k</m:t>
            </m:r>
          </m:e>
          <m:sub>
            <m:r>
              <w:rPr>
                <w:rFonts w:ascii="Cambria Math" w:eastAsia="Times New Roman" w:hAnsi="Cambria Math"/>
                <w:snapToGrid w:val="0"/>
                <w:szCs w:val="24"/>
                <w:lang w:val="en-GB" w:eastAsia="en-US"/>
              </w:rPr>
              <m:t>2</m:t>
            </m:r>
          </m:sub>
        </m:sSub>
        <m:r>
          <w:rPr>
            <w:rFonts w:ascii="Cambria Math" w:eastAsia="Times New Roman" w:hAnsi="Cambria Math"/>
            <w:snapToGrid w:val="0"/>
            <w:szCs w:val="24"/>
            <w:lang w:val="en-GB" w:eastAsia="en-US"/>
          </w:rPr>
          <m:t>x</m:t>
        </m:r>
        <m:d>
          <m:dPr>
            <m:ctrlPr>
              <w:rPr>
                <w:rFonts w:ascii="Cambria Math" w:eastAsia="Times New Roman" w:hAnsi="Cambria Math"/>
                <w:i/>
                <w:snapToGrid w:val="0"/>
                <w:szCs w:val="24"/>
                <w:lang w:val="en-GB" w:eastAsia="en-US"/>
              </w:rPr>
            </m:ctrlPr>
          </m:dPr>
          <m:e>
            <m:r>
              <w:rPr>
                <w:rFonts w:ascii="Cambria Math" w:eastAsia="Times New Roman" w:hAnsi="Cambria Math"/>
                <w:snapToGrid w:val="0"/>
                <w:szCs w:val="24"/>
                <w:lang w:val="en-GB" w:eastAsia="en-US"/>
              </w:rPr>
              <m:t>t</m:t>
            </m:r>
          </m:e>
        </m:d>
        <m:r>
          <w:rPr>
            <w:rFonts w:ascii="Cambria Math" w:eastAsia="Times New Roman" w:hAnsi="Cambria Math"/>
            <w:snapToGrid w:val="0"/>
            <w:szCs w:val="24"/>
            <w:lang w:val="en-GB" w:eastAsia="en-US"/>
          </w:rPr>
          <m:t>+</m:t>
        </m:r>
        <m:f>
          <m:fPr>
            <m:ctrlPr>
              <w:rPr>
                <w:rFonts w:ascii="Cambria Math" w:eastAsia="Times New Roman" w:hAnsi="Cambria Math"/>
                <w:i/>
                <w:snapToGrid w:val="0"/>
                <w:szCs w:val="24"/>
                <w:lang w:val="en-GB" w:eastAsia="en-US"/>
              </w:rPr>
            </m:ctrlPr>
          </m:fPr>
          <m:num>
            <m:d>
              <m:dPr>
                <m:ctrlPr>
                  <w:rPr>
                    <w:rFonts w:ascii="Cambria Math" w:eastAsia="Times New Roman" w:hAnsi="Cambria Math"/>
                    <w:i/>
                    <w:snapToGrid w:val="0"/>
                    <w:szCs w:val="24"/>
                    <w:lang w:val="en-GB" w:eastAsia="en-US"/>
                  </w:rPr>
                </m:ctrlPr>
              </m:dPr>
              <m:e>
                <m:sSub>
                  <m:sSubPr>
                    <m:ctrlPr>
                      <w:rPr>
                        <w:rFonts w:ascii="Cambria Math" w:eastAsia="Times New Roman" w:hAnsi="Cambria Math"/>
                        <w:i/>
                        <w:snapToGrid w:val="0"/>
                        <w:szCs w:val="24"/>
                        <w:lang w:val="en-GB" w:eastAsia="en-US"/>
                      </w:rPr>
                    </m:ctrlPr>
                  </m:sSubPr>
                  <m:e>
                    <m:r>
                      <w:rPr>
                        <w:rFonts w:ascii="Cambria Math" w:eastAsia="Times New Roman" w:hAnsi="Cambria Math"/>
                        <w:snapToGrid w:val="0"/>
                        <w:szCs w:val="24"/>
                        <w:lang w:val="en-GB" w:eastAsia="en-US"/>
                      </w:rPr>
                      <m:t>k</m:t>
                    </m:r>
                  </m:e>
                  <m:sub>
                    <m:r>
                      <w:rPr>
                        <w:rFonts w:ascii="Cambria Math" w:eastAsia="Times New Roman" w:hAnsi="Cambria Math"/>
                        <w:snapToGrid w:val="0"/>
                        <w:szCs w:val="24"/>
                        <w:lang w:val="en-GB" w:eastAsia="en-US"/>
                      </w:rPr>
                      <m:t>1</m:t>
                    </m:r>
                  </m:sub>
                </m:sSub>
                <m:r>
                  <w:rPr>
                    <w:rFonts w:ascii="Cambria Math" w:eastAsia="Times New Roman" w:hAnsi="Cambria Math"/>
                    <w:snapToGrid w:val="0"/>
                    <w:szCs w:val="24"/>
                    <w:lang w:val="en-GB" w:eastAsia="en-US"/>
                  </w:rPr>
                  <m:t>-</m:t>
                </m:r>
                <m:sSub>
                  <m:sSubPr>
                    <m:ctrlPr>
                      <w:rPr>
                        <w:rFonts w:ascii="Cambria Math" w:eastAsia="Times New Roman" w:hAnsi="Cambria Math"/>
                        <w:i/>
                        <w:snapToGrid w:val="0"/>
                        <w:szCs w:val="24"/>
                        <w:lang w:val="en-GB" w:eastAsia="en-US"/>
                      </w:rPr>
                    </m:ctrlPr>
                  </m:sSubPr>
                  <m:e>
                    <m:r>
                      <w:rPr>
                        <w:rFonts w:ascii="Cambria Math" w:eastAsia="Times New Roman" w:hAnsi="Cambria Math"/>
                        <w:snapToGrid w:val="0"/>
                        <w:szCs w:val="24"/>
                        <w:lang w:val="en-GB" w:eastAsia="en-US"/>
                      </w:rPr>
                      <m:t>k</m:t>
                    </m:r>
                  </m:e>
                  <m:sub>
                    <m:r>
                      <w:rPr>
                        <w:rFonts w:ascii="Cambria Math" w:eastAsia="Times New Roman" w:hAnsi="Cambria Math"/>
                        <w:snapToGrid w:val="0"/>
                        <w:szCs w:val="24"/>
                        <w:lang w:val="en-GB" w:eastAsia="en-US"/>
                      </w:rPr>
                      <m:t>2</m:t>
                    </m:r>
                  </m:sub>
                </m:sSub>
              </m:e>
            </m:d>
            <m:r>
              <w:rPr>
                <w:rFonts w:ascii="Cambria Math" w:eastAsia="Times New Roman" w:hAnsi="Cambria Math"/>
                <w:snapToGrid w:val="0"/>
                <w:szCs w:val="24"/>
                <w:lang w:val="en-GB" w:eastAsia="en-US"/>
              </w:rPr>
              <m:t>x</m:t>
            </m:r>
            <m:d>
              <m:dPr>
                <m:ctrlPr>
                  <w:rPr>
                    <w:rFonts w:ascii="Cambria Math" w:eastAsia="Times New Roman" w:hAnsi="Cambria Math"/>
                    <w:i/>
                    <w:snapToGrid w:val="0"/>
                    <w:szCs w:val="24"/>
                    <w:lang w:val="en-GB" w:eastAsia="en-US"/>
                  </w:rPr>
                </m:ctrlPr>
              </m:dPr>
              <m:e>
                <m:r>
                  <w:rPr>
                    <w:rFonts w:ascii="Cambria Math" w:eastAsia="Times New Roman" w:hAnsi="Cambria Math"/>
                    <w:snapToGrid w:val="0"/>
                    <w:szCs w:val="24"/>
                    <w:lang w:val="en-GB" w:eastAsia="en-US"/>
                  </w:rPr>
                  <m:t>t</m:t>
                </m:r>
              </m:e>
            </m:d>
          </m:num>
          <m:den>
            <m:sSup>
              <m:sSupPr>
                <m:ctrlPr>
                  <w:rPr>
                    <w:rFonts w:ascii="Cambria Math" w:eastAsia="Times New Roman" w:hAnsi="Cambria Math"/>
                    <w:i/>
                    <w:snapToGrid w:val="0"/>
                    <w:szCs w:val="24"/>
                    <w:lang w:val="en-GB" w:eastAsia="en-US"/>
                  </w:rPr>
                </m:ctrlPr>
              </m:sSupPr>
              <m:e>
                <m:d>
                  <m:dPr>
                    <m:begChr m:val="["/>
                    <m:endChr m:val="]"/>
                    <m:ctrlPr>
                      <w:rPr>
                        <w:rFonts w:ascii="Cambria Math" w:eastAsia="Times New Roman" w:hAnsi="Cambria Math"/>
                        <w:i/>
                        <w:snapToGrid w:val="0"/>
                        <w:szCs w:val="24"/>
                        <w:lang w:val="en-GB" w:eastAsia="en-US"/>
                      </w:rPr>
                    </m:ctrlPr>
                  </m:dPr>
                  <m:e>
                    <m:sSup>
                      <m:sSupPr>
                        <m:ctrlPr>
                          <w:rPr>
                            <w:rFonts w:ascii="Cambria Math" w:eastAsia="Times New Roman" w:hAnsi="Cambria Math"/>
                            <w:i/>
                            <w:snapToGrid w:val="0"/>
                            <w:szCs w:val="24"/>
                            <w:lang w:val="en-GB" w:eastAsia="en-US"/>
                          </w:rPr>
                        </m:ctrlPr>
                      </m:sSupPr>
                      <m:e>
                        <m:r>
                          <w:rPr>
                            <w:rFonts w:ascii="Cambria Math" w:eastAsia="Times New Roman" w:hAnsi="Cambria Math"/>
                            <w:snapToGrid w:val="0"/>
                            <w:szCs w:val="24"/>
                            <w:lang w:val="en-GB" w:eastAsia="en-US"/>
                          </w:rPr>
                          <m:t>1+</m:t>
                        </m:r>
                        <m:d>
                          <m:dPr>
                            <m:begChr m:val="|"/>
                            <m:endChr m:val="|"/>
                            <m:ctrlPr>
                              <w:rPr>
                                <w:rFonts w:ascii="Cambria Math" w:eastAsia="Times New Roman" w:hAnsi="Cambria Math"/>
                                <w:i/>
                                <w:snapToGrid w:val="0"/>
                                <w:szCs w:val="24"/>
                                <w:lang w:val="en-GB" w:eastAsia="en-US"/>
                              </w:rPr>
                            </m:ctrlPr>
                          </m:dPr>
                          <m:e>
                            <m:f>
                              <m:fPr>
                                <m:ctrlPr>
                                  <w:rPr>
                                    <w:rFonts w:ascii="Cambria Math" w:eastAsia="Times New Roman" w:hAnsi="Cambria Math"/>
                                    <w:i/>
                                    <w:snapToGrid w:val="0"/>
                                    <w:szCs w:val="24"/>
                                    <w:lang w:val="en-GB" w:eastAsia="en-US"/>
                                  </w:rPr>
                                </m:ctrlPr>
                              </m:fPr>
                              <m:num>
                                <m:sSub>
                                  <m:sSubPr>
                                    <m:ctrlPr>
                                      <w:rPr>
                                        <w:rFonts w:ascii="Cambria Math" w:eastAsia="Times New Roman" w:hAnsi="Cambria Math"/>
                                        <w:i/>
                                        <w:snapToGrid w:val="0"/>
                                        <w:szCs w:val="24"/>
                                        <w:lang w:val="en-GB" w:eastAsia="en-US"/>
                                      </w:rPr>
                                    </m:ctrlPr>
                                  </m:sSubPr>
                                  <m:e>
                                    <m:r>
                                      <w:rPr>
                                        <w:rFonts w:ascii="Cambria Math" w:eastAsia="Times New Roman" w:hAnsi="Cambria Math"/>
                                        <w:snapToGrid w:val="0"/>
                                        <w:szCs w:val="24"/>
                                        <w:lang w:val="en-GB" w:eastAsia="en-US"/>
                                      </w:rPr>
                                      <m:t>k</m:t>
                                    </m:r>
                                  </m:e>
                                  <m:sub>
                                    <m:r>
                                      <w:rPr>
                                        <w:rFonts w:ascii="Cambria Math" w:eastAsia="Times New Roman" w:hAnsi="Cambria Math"/>
                                        <w:snapToGrid w:val="0"/>
                                        <w:szCs w:val="24"/>
                                        <w:lang w:val="en-GB" w:eastAsia="en-US"/>
                                      </w:rPr>
                                      <m:t>1</m:t>
                                    </m:r>
                                  </m:sub>
                                </m:sSub>
                                <m:r>
                                  <w:rPr>
                                    <w:rFonts w:ascii="Cambria Math" w:eastAsia="Times New Roman" w:hAnsi="Cambria Math"/>
                                    <w:snapToGrid w:val="0"/>
                                    <w:szCs w:val="24"/>
                                    <w:lang w:val="en-GB" w:eastAsia="en-US"/>
                                  </w:rPr>
                                  <m:t>x(t)</m:t>
                                </m:r>
                              </m:num>
                              <m:den>
                                <m:sSub>
                                  <m:sSubPr>
                                    <m:ctrlPr>
                                      <w:rPr>
                                        <w:rFonts w:ascii="Cambria Math" w:eastAsia="Times New Roman" w:hAnsi="Cambria Math"/>
                                        <w:i/>
                                        <w:snapToGrid w:val="0"/>
                                        <w:szCs w:val="24"/>
                                        <w:lang w:val="en-GB" w:eastAsia="en-US"/>
                                      </w:rPr>
                                    </m:ctrlPr>
                                  </m:sSubPr>
                                  <m:e>
                                    <m:r>
                                      <w:rPr>
                                        <w:rFonts w:ascii="Cambria Math" w:eastAsia="Times New Roman" w:hAnsi="Cambria Math"/>
                                        <w:snapToGrid w:val="0"/>
                                        <w:szCs w:val="24"/>
                                        <w:lang w:val="en-GB" w:eastAsia="en-US"/>
                                      </w:rPr>
                                      <m:t>F</m:t>
                                    </m:r>
                                  </m:e>
                                  <m:sub>
                                    <m:r>
                                      <w:rPr>
                                        <w:rFonts w:ascii="Cambria Math" w:eastAsia="Times New Roman" w:hAnsi="Cambria Math"/>
                                        <w:snapToGrid w:val="0"/>
                                        <w:szCs w:val="24"/>
                                        <w:lang w:val="en-GB" w:eastAsia="en-US"/>
                                      </w:rPr>
                                      <m:t>0</m:t>
                                    </m:r>
                                  </m:sub>
                                </m:sSub>
                              </m:den>
                            </m:f>
                          </m:e>
                        </m:d>
                      </m:e>
                      <m:sup>
                        <m:r>
                          <w:rPr>
                            <w:rFonts w:ascii="Cambria Math" w:eastAsia="Times New Roman" w:hAnsi="Cambria Math"/>
                            <w:snapToGrid w:val="0"/>
                            <w:szCs w:val="24"/>
                            <w:lang w:val="en-GB" w:eastAsia="en-US"/>
                          </w:rPr>
                          <m:t>5</m:t>
                        </m:r>
                      </m:sup>
                    </m:sSup>
                  </m:e>
                </m:d>
              </m:e>
              <m:sup>
                <m:r>
                  <w:rPr>
                    <w:rFonts w:ascii="Cambria Math" w:eastAsia="Times New Roman" w:hAnsi="Cambria Math"/>
                    <w:snapToGrid w:val="0"/>
                    <w:szCs w:val="24"/>
                    <w:lang w:val="en-GB" w:eastAsia="en-US"/>
                  </w:rPr>
                  <m:t>1/5</m:t>
                </m:r>
              </m:sup>
            </m:sSup>
          </m:den>
        </m:f>
      </m:oMath>
      <w:r w:rsidR="000846FD" w:rsidRPr="000846FD">
        <w:rPr>
          <w:rFonts w:eastAsia="Times New Roman"/>
          <w:snapToGrid w:val="0"/>
          <w:szCs w:val="24"/>
          <w:lang w:val="en-GB" w:eastAsia="en-US"/>
        </w:rPr>
        <w:tab/>
        <w:t>(2)</w:t>
      </w: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r w:rsidRPr="000846FD">
        <w:rPr>
          <w:rFonts w:eastAsia="Times New Roman"/>
          <w:snapToGrid w:val="0"/>
          <w:szCs w:val="24"/>
          <w:lang w:val="en-GB" w:eastAsia="en-US"/>
        </w:rPr>
        <w:t xml:space="preserve">where </w:t>
      </w:r>
      <w:r w:rsidRPr="000846FD">
        <w:rPr>
          <w:rFonts w:eastAsia="Times New Roman"/>
          <w:i/>
          <w:snapToGrid w:val="0"/>
          <w:szCs w:val="24"/>
          <w:lang w:val="en-GB" w:eastAsia="en-US"/>
        </w:rPr>
        <w:t>t</w:t>
      </w:r>
      <w:r w:rsidRPr="000846FD">
        <w:rPr>
          <w:rFonts w:eastAsia="Times New Roman"/>
          <w:snapToGrid w:val="0"/>
          <w:szCs w:val="24"/>
          <w:lang w:val="en-GB" w:eastAsia="en-US"/>
        </w:rPr>
        <w:t xml:space="preserve">=time variable; </w:t>
      </w:r>
      <w:r w:rsidRPr="000846FD">
        <w:rPr>
          <w:rFonts w:eastAsia="Times New Roman"/>
          <w:i/>
          <w:snapToGrid w:val="0"/>
          <w:szCs w:val="24"/>
          <w:lang w:val="en-GB" w:eastAsia="en-US"/>
        </w:rPr>
        <w:t>c</w:t>
      </w:r>
      <w:r w:rsidRPr="000846FD">
        <w:rPr>
          <w:rFonts w:eastAsia="Times New Roman"/>
          <w:snapToGrid w:val="0"/>
          <w:szCs w:val="24"/>
          <w:lang w:val="en-GB" w:eastAsia="en-US"/>
        </w:rPr>
        <w:t xml:space="preserve">=damping coefficient; sgn(·)=signum function; </w:t>
      </w:r>
      <m:oMath>
        <m:acc>
          <m:accPr>
            <m:chr m:val="̇"/>
            <m:ctrlPr>
              <w:rPr>
                <w:rFonts w:ascii="Cambria Math" w:eastAsia="Times New Roman" w:hAnsi="Cambria Math"/>
                <w:i/>
                <w:snapToGrid w:val="0"/>
                <w:szCs w:val="24"/>
                <w:lang w:val="en-GB" w:eastAsia="en-US"/>
              </w:rPr>
            </m:ctrlPr>
          </m:accPr>
          <m:e>
            <m:r>
              <w:rPr>
                <w:rFonts w:ascii="Cambria Math" w:eastAsia="Times New Roman" w:hAnsi="Cambria Math"/>
                <w:snapToGrid w:val="0"/>
                <w:szCs w:val="24"/>
                <w:lang w:val="en-US" w:eastAsia="en-US"/>
              </w:rPr>
              <m:t>x</m:t>
            </m:r>
          </m:e>
        </m:acc>
        <m:r>
          <w:rPr>
            <w:rFonts w:ascii="Cambria Math" w:eastAsia="Times New Roman" w:hAnsi="Cambria Math"/>
            <w:snapToGrid w:val="0"/>
            <w:szCs w:val="24"/>
            <w:lang w:val="en-US" w:eastAsia="en-US"/>
          </w:rPr>
          <m:t>(t)</m:t>
        </m:r>
      </m:oMath>
      <w:r w:rsidRPr="000846FD">
        <w:rPr>
          <w:rFonts w:eastAsia="Times New Roman"/>
          <w:snapToGrid w:val="0"/>
          <w:szCs w:val="24"/>
          <w:lang w:val="en-GB" w:eastAsia="en-US"/>
        </w:rPr>
        <w:t xml:space="preserve">=device velocity; |·|=absolute value; </w:t>
      </w:r>
      <w:r w:rsidRPr="000846FD">
        <w:rPr>
          <w:rFonts w:eastAsia="Times New Roman"/>
          <w:snapToGrid w:val="0"/>
          <w:szCs w:val="24"/>
          <w:lang w:val="en-GB" w:eastAsia="en-US"/>
        </w:rPr>
        <w:sym w:font="Symbol" w:char="F067"/>
      </w:r>
      <w:r w:rsidRPr="000846FD">
        <w:rPr>
          <w:rFonts w:eastAsia="Times New Roman"/>
          <w:snapToGrid w:val="0"/>
          <w:szCs w:val="24"/>
          <w:lang w:val="en-GB" w:eastAsia="en-US"/>
        </w:rPr>
        <w:t xml:space="preserve">=fractional exponent, ranging from 0.1 to 0.2 (Sorace and Terenzi 2001); </w:t>
      </w:r>
      <w:r w:rsidRPr="000846FD">
        <w:rPr>
          <w:rFonts w:eastAsia="Times New Roman"/>
          <w:bCs/>
          <w:i/>
          <w:snapToGrid w:val="0"/>
          <w:szCs w:val="24"/>
          <w:lang w:val="en-GB" w:eastAsia="en-US"/>
        </w:rPr>
        <w:t>F</w:t>
      </w:r>
      <w:r w:rsidRPr="000846FD">
        <w:rPr>
          <w:rFonts w:eastAsia="Times New Roman"/>
          <w:bCs/>
          <w:snapToGrid w:val="0"/>
          <w:szCs w:val="24"/>
          <w:vertAlign w:val="subscript"/>
          <w:lang w:val="en-GB" w:eastAsia="en-US"/>
        </w:rPr>
        <w:t>0</w:t>
      </w:r>
      <w:r w:rsidRPr="000846FD">
        <w:rPr>
          <w:rFonts w:eastAsia="Times New Roman"/>
          <w:bCs/>
          <w:snapToGrid w:val="0"/>
          <w:szCs w:val="24"/>
          <w:lang w:val="en-GB" w:eastAsia="en-US"/>
        </w:rPr>
        <w:t>=static pre-load force;</w:t>
      </w:r>
      <w:r w:rsidRPr="000846FD">
        <w:rPr>
          <w:rFonts w:eastAsia="Times New Roman"/>
          <w:i/>
          <w:snapToGrid w:val="0"/>
          <w:szCs w:val="24"/>
          <w:lang w:val="en-GB" w:eastAsia="en-US"/>
        </w:rPr>
        <w:t xml:space="preserve"> k</w:t>
      </w:r>
      <w:r w:rsidRPr="000846FD">
        <w:rPr>
          <w:rFonts w:eastAsia="Times New Roman"/>
          <w:snapToGrid w:val="0"/>
          <w:szCs w:val="24"/>
          <w:vertAlign w:val="subscript"/>
          <w:lang w:val="en-GB" w:eastAsia="en-US"/>
        </w:rPr>
        <w:t>1</w:t>
      </w:r>
      <w:r w:rsidRPr="000846FD">
        <w:rPr>
          <w:rFonts w:eastAsia="Times New Roman"/>
          <w:snapToGrid w:val="0"/>
          <w:szCs w:val="24"/>
          <w:lang w:val="en-GB" w:eastAsia="en-US"/>
        </w:rPr>
        <w:t xml:space="preserve">, </w:t>
      </w:r>
      <w:r w:rsidRPr="000846FD">
        <w:rPr>
          <w:rFonts w:eastAsia="Times New Roman"/>
          <w:i/>
          <w:snapToGrid w:val="0"/>
          <w:szCs w:val="24"/>
          <w:lang w:val="en-GB" w:eastAsia="en-US"/>
        </w:rPr>
        <w:t>k</w:t>
      </w:r>
      <w:r w:rsidRPr="000846FD">
        <w:rPr>
          <w:rFonts w:eastAsia="Times New Roman"/>
          <w:snapToGrid w:val="0"/>
          <w:szCs w:val="24"/>
          <w:vertAlign w:val="subscript"/>
          <w:lang w:val="en-GB" w:eastAsia="en-US"/>
        </w:rPr>
        <w:t>2</w:t>
      </w:r>
      <w:r w:rsidRPr="000846FD">
        <w:rPr>
          <w:rFonts w:eastAsia="Times New Roman"/>
          <w:snapToGrid w:val="0"/>
          <w:szCs w:val="24"/>
          <w:lang w:val="en-GB" w:eastAsia="en-US"/>
        </w:rPr>
        <w:t xml:space="preserve">=stiffness of the response branches situated below and beyond </w:t>
      </w:r>
      <w:r w:rsidRPr="000846FD">
        <w:rPr>
          <w:rFonts w:eastAsia="Times New Roman"/>
          <w:i/>
          <w:snapToGrid w:val="0"/>
          <w:szCs w:val="24"/>
          <w:lang w:val="en-GB" w:eastAsia="en-US"/>
        </w:rPr>
        <w:t>F</w:t>
      </w:r>
      <w:r w:rsidRPr="000846FD">
        <w:rPr>
          <w:rFonts w:eastAsia="Times New Roman"/>
          <w:snapToGrid w:val="0"/>
          <w:szCs w:val="24"/>
          <w:vertAlign w:val="subscript"/>
          <w:lang w:val="en-GB" w:eastAsia="en-US"/>
        </w:rPr>
        <w:t>0</w:t>
      </w:r>
      <w:r w:rsidRPr="000846FD">
        <w:rPr>
          <w:rFonts w:eastAsia="Times New Roman"/>
          <w:snapToGrid w:val="0"/>
          <w:szCs w:val="24"/>
          <w:lang w:val="en-GB" w:eastAsia="en-US"/>
        </w:rPr>
        <w:t xml:space="preserve">; and </w:t>
      </w:r>
      <w:r w:rsidRPr="000846FD">
        <w:rPr>
          <w:rFonts w:eastAsia="Times New Roman"/>
          <w:i/>
          <w:snapToGrid w:val="0"/>
          <w:szCs w:val="24"/>
          <w:lang w:val="en-GB" w:eastAsia="en-US"/>
        </w:rPr>
        <w:t>x</w:t>
      </w:r>
      <w:r w:rsidRPr="000846FD">
        <w:rPr>
          <w:rFonts w:eastAsia="Times New Roman"/>
          <w:snapToGrid w:val="0"/>
          <w:szCs w:val="24"/>
          <w:lang w:val="en-GB" w:eastAsia="en-US"/>
        </w:rPr>
        <w:t>(</w:t>
      </w:r>
      <w:r w:rsidRPr="000846FD">
        <w:rPr>
          <w:rFonts w:eastAsia="Times New Roman"/>
          <w:i/>
          <w:snapToGrid w:val="0"/>
          <w:szCs w:val="24"/>
          <w:lang w:val="en-GB" w:eastAsia="en-US"/>
        </w:rPr>
        <w:t>t</w:t>
      </w:r>
      <w:r w:rsidRPr="000846FD">
        <w:rPr>
          <w:rFonts w:eastAsia="Times New Roman"/>
          <w:snapToGrid w:val="0"/>
          <w:szCs w:val="24"/>
          <w:lang w:val="en-GB" w:eastAsia="en-US"/>
        </w:rPr>
        <w:t>)=device displacement.</w:t>
      </w:r>
    </w:p>
    <w:p w:rsidR="000846FD" w:rsidRPr="000846FD" w:rsidRDefault="000846FD" w:rsidP="000846FD">
      <w:pPr>
        <w:widowControl w:val="0"/>
        <w:spacing w:after="0" w:line="240" w:lineRule="auto"/>
        <w:jc w:val="both"/>
        <w:rPr>
          <w:rFonts w:eastAsia="Times New Roman"/>
          <w:snapToGrid w:val="0"/>
          <w:szCs w:val="24"/>
          <w:lang w:val="en-GB" w:eastAsia="en-US"/>
        </w:rPr>
      </w:pPr>
      <w:r w:rsidRPr="000846FD">
        <w:rPr>
          <w:rFonts w:eastAsia="Times New Roman"/>
          <w:snapToGrid w:val="0"/>
          <w:szCs w:val="24"/>
          <w:lang w:val="en-GB" w:eastAsia="en-US"/>
        </w:rPr>
        <w:t xml:space="preserve">As shown by the building plan in Figure 4, the dissipative braces are placed in four alignments parallel to X and four alignments parallel to Y. The former are constituted by the four corner pairs of adjacent columns (C1-C2, C6-C7, C8-C9, C13-C14). Concerning the Y-parallel alignments, because the girder span is about 25 m long, four columns made of HEB 220 steel profiles, named S1 through S4 in Figure 4, are added at a distance of 10 m from columns C1, C7, C8 and C14, prior to mounting the bracing members. This allows obtaining in Y the same brace span determined by the mutual distance of columns in X direction, while preserving a 5 m wide free central span for vehicle access. </w:t>
      </w:r>
    </w:p>
    <w:p w:rsidR="000846FD" w:rsidRPr="000846FD" w:rsidRDefault="000846FD" w:rsidP="000846FD">
      <w:pPr>
        <w:widowControl w:val="0"/>
        <w:spacing w:after="0" w:line="240" w:lineRule="auto"/>
        <w:jc w:val="both"/>
        <w:rPr>
          <w:rFonts w:eastAsia="Times New Roman"/>
          <w:bCs/>
          <w:snapToGrid w:val="0"/>
          <w:szCs w:val="24"/>
          <w:lang w:val="en-GB" w:eastAsia="en-US"/>
        </w:rPr>
      </w:pPr>
      <w:r w:rsidRPr="000846FD">
        <w:rPr>
          <w:rFonts w:eastAsia="Times New Roman"/>
          <w:bCs/>
          <w:noProof/>
          <w:snapToGrid w:val="0"/>
          <w:szCs w:val="24"/>
        </w:rPr>
        <w:drawing>
          <wp:anchor distT="0" distB="0" distL="114300" distR="114300" simplePos="0" relativeHeight="251670528" behindDoc="1" locked="0" layoutInCell="1" allowOverlap="1" wp14:anchorId="1D1BA10C" wp14:editId="47FE0FDE">
            <wp:simplePos x="0" y="0"/>
            <wp:positionH relativeFrom="column">
              <wp:posOffset>54610</wp:posOffset>
            </wp:positionH>
            <wp:positionV relativeFrom="paragraph">
              <wp:posOffset>120015</wp:posOffset>
            </wp:positionV>
            <wp:extent cx="6068060" cy="1549400"/>
            <wp:effectExtent l="19050" t="0" r="8890" b="0"/>
            <wp:wrapNone/>
            <wp:docPr id="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6120" t="39296" r="6224" b="44868"/>
                    <a:stretch>
                      <a:fillRect/>
                    </a:stretch>
                  </pic:blipFill>
                  <pic:spPr bwMode="auto">
                    <a:xfrm>
                      <a:off x="0" y="0"/>
                      <a:ext cx="6068060" cy="1549400"/>
                    </a:xfrm>
                    <a:prstGeom prst="rect">
                      <a:avLst/>
                    </a:prstGeom>
                    <a:noFill/>
                    <a:ln w="9525">
                      <a:noFill/>
                      <a:miter lim="800000"/>
                      <a:headEnd/>
                      <a:tailEnd/>
                    </a:ln>
                  </pic:spPr>
                </pic:pic>
              </a:graphicData>
            </a:graphic>
          </wp:anchor>
        </w:drawing>
      </w:r>
    </w:p>
    <w:p w:rsidR="000846FD" w:rsidRPr="000846FD" w:rsidRDefault="000846FD" w:rsidP="000846FD">
      <w:pPr>
        <w:widowControl w:val="0"/>
        <w:spacing w:after="0" w:line="240" w:lineRule="auto"/>
        <w:jc w:val="both"/>
        <w:rPr>
          <w:rFonts w:eastAsia="Times New Roman"/>
          <w:bCs/>
          <w:snapToGrid w:val="0"/>
          <w:szCs w:val="24"/>
          <w:lang w:val="en-GB" w:eastAsia="en-US"/>
        </w:rPr>
      </w:pPr>
    </w:p>
    <w:p w:rsidR="000846FD" w:rsidRPr="000846FD" w:rsidRDefault="000846FD" w:rsidP="000846FD">
      <w:pPr>
        <w:widowControl w:val="0"/>
        <w:spacing w:after="0" w:line="240" w:lineRule="auto"/>
        <w:jc w:val="both"/>
        <w:rPr>
          <w:rFonts w:eastAsia="Times New Roman"/>
          <w:bCs/>
          <w:snapToGrid w:val="0"/>
          <w:szCs w:val="24"/>
          <w:lang w:val="en-GB" w:eastAsia="en-US"/>
        </w:rPr>
      </w:pPr>
    </w:p>
    <w:p w:rsidR="000846FD" w:rsidRPr="000846FD" w:rsidRDefault="000846FD" w:rsidP="000846FD">
      <w:pPr>
        <w:widowControl w:val="0"/>
        <w:spacing w:after="0" w:line="240" w:lineRule="auto"/>
        <w:jc w:val="both"/>
        <w:rPr>
          <w:rFonts w:eastAsia="Times New Roman"/>
          <w:bCs/>
          <w:snapToGrid w:val="0"/>
          <w:szCs w:val="24"/>
          <w:lang w:val="en-GB" w:eastAsia="en-US"/>
        </w:rPr>
      </w:pPr>
    </w:p>
    <w:p w:rsidR="000846FD" w:rsidRPr="000846FD" w:rsidRDefault="000846FD" w:rsidP="000846FD">
      <w:pPr>
        <w:widowControl w:val="0"/>
        <w:spacing w:after="0" w:line="240" w:lineRule="auto"/>
        <w:jc w:val="both"/>
        <w:rPr>
          <w:rFonts w:eastAsia="Times New Roman"/>
          <w:bCs/>
          <w:snapToGrid w:val="0"/>
          <w:szCs w:val="24"/>
          <w:lang w:val="en-GB" w:eastAsia="en-US"/>
        </w:rPr>
      </w:pPr>
    </w:p>
    <w:p w:rsidR="000846FD" w:rsidRPr="000846FD" w:rsidRDefault="000846FD" w:rsidP="000846FD">
      <w:pPr>
        <w:widowControl w:val="0"/>
        <w:spacing w:after="0" w:line="240" w:lineRule="auto"/>
        <w:jc w:val="both"/>
        <w:rPr>
          <w:rFonts w:eastAsia="Times New Roman"/>
          <w:bCs/>
          <w:snapToGrid w:val="0"/>
          <w:szCs w:val="24"/>
          <w:lang w:val="en-GB" w:eastAsia="en-US"/>
        </w:rPr>
      </w:pPr>
    </w:p>
    <w:p w:rsidR="000846FD" w:rsidRPr="000846FD" w:rsidRDefault="000846FD" w:rsidP="000846FD">
      <w:pPr>
        <w:widowControl w:val="0"/>
        <w:spacing w:after="0" w:line="240" w:lineRule="auto"/>
        <w:jc w:val="both"/>
        <w:rPr>
          <w:rFonts w:eastAsia="Times New Roman"/>
          <w:bCs/>
          <w:snapToGrid w:val="0"/>
          <w:szCs w:val="24"/>
          <w:lang w:val="en-GB" w:eastAsia="en-US"/>
        </w:rPr>
      </w:pPr>
    </w:p>
    <w:p w:rsidR="000846FD" w:rsidRPr="000846FD" w:rsidRDefault="000846FD" w:rsidP="000846FD">
      <w:pPr>
        <w:widowControl w:val="0"/>
        <w:spacing w:after="0" w:line="240" w:lineRule="auto"/>
        <w:jc w:val="both"/>
        <w:rPr>
          <w:rFonts w:eastAsia="Times New Roman"/>
          <w:bCs/>
          <w:snapToGrid w:val="0"/>
          <w:szCs w:val="24"/>
          <w:lang w:val="en-GB" w:eastAsia="en-US"/>
        </w:rPr>
      </w:pPr>
    </w:p>
    <w:p w:rsidR="000846FD" w:rsidRPr="000846FD" w:rsidRDefault="000846FD" w:rsidP="000846FD">
      <w:pPr>
        <w:widowControl w:val="0"/>
        <w:spacing w:after="0" w:line="240" w:lineRule="auto"/>
        <w:jc w:val="both"/>
        <w:rPr>
          <w:rFonts w:eastAsia="Times New Roman"/>
          <w:bCs/>
          <w:snapToGrid w:val="0"/>
          <w:szCs w:val="24"/>
          <w:lang w:val="en-GB" w:eastAsia="en-US"/>
        </w:rPr>
      </w:pPr>
    </w:p>
    <w:p w:rsidR="000846FD" w:rsidRPr="000846FD" w:rsidRDefault="000846FD" w:rsidP="000846FD">
      <w:pPr>
        <w:widowControl w:val="0"/>
        <w:spacing w:after="0" w:line="240" w:lineRule="auto"/>
        <w:jc w:val="both"/>
        <w:rPr>
          <w:rFonts w:eastAsia="Times New Roman"/>
          <w:bCs/>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it-IT"/>
        </w:rPr>
      </w:pPr>
    </w:p>
    <w:p w:rsidR="000846FD" w:rsidRPr="000846FD" w:rsidRDefault="000846FD" w:rsidP="000846FD">
      <w:pPr>
        <w:widowControl w:val="0"/>
        <w:spacing w:after="0" w:line="240" w:lineRule="auto"/>
        <w:jc w:val="center"/>
        <w:rPr>
          <w:rFonts w:eastAsia="Times New Roman"/>
          <w:snapToGrid w:val="0"/>
          <w:sz w:val="20"/>
          <w:szCs w:val="20"/>
          <w:lang w:val="en-GB" w:eastAsia="it-IT"/>
        </w:rPr>
      </w:pPr>
      <w:r w:rsidRPr="000846FD">
        <w:rPr>
          <w:rFonts w:eastAsia="Times New Roman"/>
          <w:snapToGrid w:val="0"/>
          <w:sz w:val="20"/>
          <w:szCs w:val="20"/>
          <w:lang w:val="en-GB" w:eastAsia="it-IT"/>
        </w:rPr>
        <w:t>Figure 4. DB-based design. Bracing system alignments</w:t>
      </w: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r w:rsidRPr="000846FD">
        <w:rPr>
          <w:rFonts w:eastAsia="Times New Roman"/>
          <w:snapToGrid w:val="0"/>
          <w:szCs w:val="24"/>
          <w:lang w:val="en-GB" w:eastAsia="en-US"/>
        </w:rPr>
        <w:t xml:space="preserve">The installation layout of the FV springs-dampers, illustrated in Figure 5, is similar to the basic configuration adopted for frame buildings. The only difference is that, to simplify mounting operations, the FV devices are connected in this case to an additional steel profile placed below the roof girders, in X. At the same time, </w:t>
      </w:r>
      <w:r w:rsidRPr="000846FD">
        <w:rPr>
          <w:rFonts w:eastAsia="Times New Roman"/>
          <w:bCs/>
          <w:iCs/>
          <w:snapToGrid w:val="0"/>
          <w:szCs w:val="24"/>
          <w:lang w:val="en-US" w:eastAsia="en-US"/>
        </w:rPr>
        <w:t>in Y</w:t>
      </w:r>
      <w:r w:rsidRPr="000846FD">
        <w:rPr>
          <w:rFonts w:eastAsia="Times New Roman"/>
          <w:snapToGrid w:val="0"/>
          <w:szCs w:val="24"/>
          <w:lang w:val="en-GB" w:eastAsia="en-US"/>
        </w:rPr>
        <w:t xml:space="preserve"> direction they are directly linked to the </w:t>
      </w:r>
      <w:r w:rsidRPr="000846FD">
        <w:rPr>
          <w:rFonts w:eastAsia="Times New Roman"/>
          <w:bCs/>
          <w:iCs/>
          <w:snapToGrid w:val="0"/>
          <w:szCs w:val="24"/>
          <w:lang w:val="en-US" w:eastAsia="en-US"/>
        </w:rPr>
        <w:t>V channel-type prefab beams</w:t>
      </w:r>
      <w:r w:rsidRPr="000846FD">
        <w:rPr>
          <w:rFonts w:eastAsia="Times New Roman"/>
          <w:snapToGrid w:val="0"/>
          <w:szCs w:val="24"/>
          <w:lang w:val="en-GB" w:eastAsia="en-US"/>
        </w:rPr>
        <w:t xml:space="preserve">. </w:t>
      </w:r>
    </w:p>
    <w:p w:rsidR="000846FD" w:rsidRPr="000846FD" w:rsidRDefault="000846FD" w:rsidP="000846FD">
      <w:pPr>
        <w:widowControl w:val="0"/>
        <w:spacing w:after="0" w:line="240" w:lineRule="auto"/>
        <w:jc w:val="both"/>
        <w:rPr>
          <w:rFonts w:eastAsia="Times New Roman"/>
          <w:bCs/>
          <w:snapToGrid w:val="0"/>
          <w:szCs w:val="24"/>
          <w:lang w:val="en-GB" w:eastAsia="en-US"/>
        </w:rPr>
      </w:pPr>
      <w:r w:rsidRPr="000846FD">
        <w:rPr>
          <w:rFonts w:eastAsia="Times New Roman"/>
          <w:bCs/>
          <w:noProof/>
          <w:snapToGrid w:val="0"/>
          <w:szCs w:val="24"/>
        </w:rPr>
        <w:drawing>
          <wp:anchor distT="0" distB="0" distL="114300" distR="114300" simplePos="0" relativeHeight="251671552" behindDoc="0" locked="0" layoutInCell="1" allowOverlap="1" wp14:anchorId="78B38E90" wp14:editId="1B711F21">
            <wp:simplePos x="0" y="0"/>
            <wp:positionH relativeFrom="column">
              <wp:posOffset>2124710</wp:posOffset>
            </wp:positionH>
            <wp:positionV relativeFrom="paragraph">
              <wp:posOffset>100965</wp:posOffset>
            </wp:positionV>
            <wp:extent cx="1962150" cy="1416050"/>
            <wp:effectExtent l="19050" t="0" r="0" b="0"/>
            <wp:wrapNone/>
            <wp:docPr id="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33818" t="39810" r="34128" b="43842"/>
                    <a:stretch>
                      <a:fillRect/>
                    </a:stretch>
                  </pic:blipFill>
                  <pic:spPr bwMode="auto">
                    <a:xfrm>
                      <a:off x="0" y="0"/>
                      <a:ext cx="1962150" cy="1416050"/>
                    </a:xfrm>
                    <a:prstGeom prst="rect">
                      <a:avLst/>
                    </a:prstGeom>
                    <a:noFill/>
                    <a:ln w="9525">
                      <a:noFill/>
                      <a:miter lim="800000"/>
                      <a:headEnd/>
                      <a:tailEnd/>
                    </a:ln>
                  </pic:spPr>
                </pic:pic>
              </a:graphicData>
            </a:graphic>
          </wp:anchor>
        </w:drawing>
      </w: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center"/>
        <w:rPr>
          <w:rFonts w:eastAsia="Times New Roman"/>
          <w:snapToGrid w:val="0"/>
          <w:sz w:val="20"/>
          <w:szCs w:val="20"/>
          <w:lang w:val="en-GB" w:eastAsia="it-IT"/>
        </w:rPr>
      </w:pPr>
      <w:r w:rsidRPr="000846FD">
        <w:rPr>
          <w:rFonts w:eastAsia="Times New Roman"/>
          <w:snapToGrid w:val="0"/>
          <w:sz w:val="20"/>
          <w:szCs w:val="20"/>
          <w:lang w:val="en-GB" w:eastAsia="it-IT"/>
        </w:rPr>
        <w:t xml:space="preserve">Figure 5. DB-based design. </w:t>
      </w:r>
      <w:r w:rsidRPr="000846FD">
        <w:rPr>
          <w:rFonts w:eastAsia="Calibri"/>
          <w:snapToGrid w:val="0"/>
          <w:sz w:val="20"/>
          <w:szCs w:val="20"/>
          <w:lang w:val="en-GB" w:eastAsia="it-IT"/>
        </w:rPr>
        <w:t>Installation details of the spring-dampers</w:t>
      </w:r>
    </w:p>
    <w:p w:rsidR="000846FD" w:rsidRPr="000846FD" w:rsidRDefault="000846FD" w:rsidP="000846FD">
      <w:pPr>
        <w:widowControl w:val="0"/>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both"/>
        <w:rPr>
          <w:rFonts w:eastAsia="Times New Roman"/>
          <w:bCs/>
          <w:snapToGrid w:val="0"/>
          <w:szCs w:val="24"/>
          <w:lang w:val="en-GB" w:eastAsia="en-US"/>
        </w:rPr>
      </w:pPr>
      <w:r w:rsidRPr="000846FD">
        <w:rPr>
          <w:rFonts w:eastAsia="Times New Roman"/>
          <w:bCs/>
          <w:snapToGrid w:val="0"/>
          <w:szCs w:val="24"/>
          <w:lang w:val="en-GB" w:eastAsia="en-US"/>
        </w:rPr>
        <w:t xml:space="preserve">For the development of numerical analyses, the finite element model of FV spring-dampers is obtained by combining in parallel a non-linear dashpot element and a non-linear spring element with reaction forces given by (1) and (2), respectively. Both types of elements are currently incorporated in commercial programs, such as the SAP2000NL code used in this study. </w:t>
      </w:r>
    </w:p>
    <w:p w:rsidR="000846FD" w:rsidRPr="000846FD" w:rsidRDefault="000846FD" w:rsidP="000846FD">
      <w:pPr>
        <w:widowControl w:val="0"/>
        <w:spacing w:after="0" w:line="240" w:lineRule="auto"/>
        <w:jc w:val="both"/>
        <w:rPr>
          <w:rFonts w:eastAsia="Times New Roman"/>
          <w:snapToGrid w:val="0"/>
          <w:szCs w:val="24"/>
          <w:lang w:val="en-GB" w:eastAsia="en-US"/>
        </w:rPr>
      </w:pPr>
      <w:r w:rsidRPr="000846FD">
        <w:rPr>
          <w:rFonts w:eastAsia="Times New Roman"/>
          <w:snapToGrid w:val="0"/>
          <w:szCs w:val="24"/>
          <w:lang w:val="en-GB" w:eastAsia="en-US"/>
        </w:rPr>
        <w:t>The design of the FV devices was developed by the criterion formulated in (Sorace and Terenzi 2008), which consists in assigning the set of installed devices the capability of dissipating a prefixed energy fraction,</w:t>
      </w:r>
      <w:r w:rsidRPr="000846FD">
        <w:rPr>
          <w:rFonts w:eastAsia="Times New Roman"/>
          <w:i/>
          <w:snapToGrid w:val="0"/>
          <w:szCs w:val="24"/>
          <w:lang w:val="en-GB" w:eastAsia="en-US"/>
        </w:rPr>
        <w:t xml:space="preserve"> E</w:t>
      </w:r>
      <w:r w:rsidRPr="000846FD">
        <w:rPr>
          <w:rFonts w:eastAsia="Times New Roman"/>
          <w:i/>
          <w:snapToGrid w:val="0"/>
          <w:szCs w:val="24"/>
          <w:vertAlign w:val="subscript"/>
          <w:lang w:val="en-GB" w:eastAsia="en-US"/>
        </w:rPr>
        <w:t>d,t</w:t>
      </w:r>
      <w:r w:rsidRPr="000846FD">
        <w:rPr>
          <w:rFonts w:eastAsia="Times New Roman"/>
          <w:snapToGrid w:val="0"/>
          <w:szCs w:val="24"/>
          <w:lang w:val="en-GB" w:eastAsia="en-US"/>
        </w:rPr>
        <w:t>, of the seismic input energy computed by the finite element model of the structure,</w:t>
      </w:r>
      <w:r w:rsidRPr="000846FD">
        <w:rPr>
          <w:rFonts w:eastAsia="Times New Roman"/>
          <w:i/>
          <w:snapToGrid w:val="0"/>
          <w:szCs w:val="24"/>
          <w:lang w:val="en-GB" w:eastAsia="en-US"/>
        </w:rPr>
        <w:t xml:space="preserve"> E</w:t>
      </w:r>
      <w:r w:rsidRPr="000846FD">
        <w:rPr>
          <w:rFonts w:eastAsia="Times New Roman"/>
          <w:i/>
          <w:snapToGrid w:val="0"/>
          <w:szCs w:val="24"/>
          <w:vertAlign w:val="subscript"/>
          <w:lang w:val="en-GB" w:eastAsia="en-US"/>
        </w:rPr>
        <w:t>i,t</w:t>
      </w:r>
      <w:r w:rsidRPr="000846FD">
        <w:rPr>
          <w:rFonts w:eastAsia="Times New Roman"/>
          <w:snapToGrid w:val="0"/>
          <w:szCs w:val="24"/>
          <w:lang w:val="en-GB" w:eastAsia="en-US"/>
        </w:rPr>
        <w:t xml:space="preserve">. </w:t>
      </w:r>
    </w:p>
    <w:p w:rsidR="000846FD" w:rsidRPr="000846FD" w:rsidRDefault="000846FD" w:rsidP="000846FD">
      <w:pPr>
        <w:widowControl w:val="0"/>
        <w:spacing w:after="0" w:line="240" w:lineRule="auto"/>
        <w:jc w:val="both"/>
        <w:rPr>
          <w:rFonts w:eastAsia="Times New Roman"/>
          <w:snapToGrid w:val="0"/>
          <w:szCs w:val="24"/>
          <w:lang w:val="en-GB" w:eastAsia="en-US"/>
        </w:rPr>
      </w:pPr>
      <w:r w:rsidRPr="000846FD">
        <w:rPr>
          <w:rFonts w:eastAsia="Times New Roman"/>
          <w:snapToGrid w:val="0"/>
          <w:szCs w:val="24"/>
          <w:lang w:val="en-GB" w:eastAsia="en-US"/>
        </w:rPr>
        <w:t xml:space="preserve">For the examined building, an elastic response was targeted up to the MCE, so as to prevent damages to the structural and non-structural elements. In order to reach this objective, by referring to the suggestions formulated for frame structures (Sorace and Terenzi 2008), </w:t>
      </w:r>
      <w:r w:rsidRPr="000846FD">
        <w:rPr>
          <w:rFonts w:eastAsia="Times New Roman"/>
          <w:i/>
          <w:snapToGrid w:val="0"/>
          <w:szCs w:val="24"/>
          <w:lang w:val="en-GB" w:eastAsia="en-US"/>
        </w:rPr>
        <w:t>E</w:t>
      </w:r>
      <w:r w:rsidRPr="000846FD">
        <w:rPr>
          <w:rFonts w:eastAsia="Times New Roman"/>
          <w:i/>
          <w:snapToGrid w:val="0"/>
          <w:szCs w:val="24"/>
          <w:vertAlign w:val="subscript"/>
          <w:lang w:val="en-GB" w:eastAsia="en-US"/>
        </w:rPr>
        <w:t>d,t</w:t>
      </w:r>
      <w:r w:rsidRPr="000846FD">
        <w:rPr>
          <w:rFonts w:eastAsia="Times New Roman"/>
          <w:snapToGrid w:val="0"/>
          <w:szCs w:val="24"/>
          <w:lang w:val="en-GB" w:eastAsia="en-US"/>
        </w:rPr>
        <w:t xml:space="preserve"> was tentatively fixed at 85% of </w:t>
      </w:r>
      <w:r w:rsidRPr="000846FD">
        <w:rPr>
          <w:rFonts w:eastAsia="Times New Roman"/>
          <w:i/>
          <w:snapToGrid w:val="0"/>
          <w:szCs w:val="24"/>
          <w:lang w:val="en-GB" w:eastAsia="en-US"/>
        </w:rPr>
        <w:t>E</w:t>
      </w:r>
      <w:r w:rsidRPr="000846FD">
        <w:rPr>
          <w:rFonts w:eastAsia="Times New Roman"/>
          <w:i/>
          <w:snapToGrid w:val="0"/>
          <w:szCs w:val="24"/>
          <w:vertAlign w:val="subscript"/>
          <w:lang w:val="en-GB" w:eastAsia="en-US"/>
        </w:rPr>
        <w:t>i,t</w:t>
      </w:r>
      <w:r w:rsidRPr="000846FD">
        <w:rPr>
          <w:rFonts w:eastAsia="Times New Roman"/>
          <w:snapToGrid w:val="0"/>
          <w:szCs w:val="24"/>
          <w:lang w:val="en-GB" w:eastAsia="en-US"/>
        </w:rPr>
        <w:t xml:space="preserve"> calculated for the response to the MCE-scaled input action. The </w:t>
      </w:r>
      <w:r w:rsidRPr="000846FD">
        <w:rPr>
          <w:rFonts w:eastAsia="Times New Roman"/>
          <w:i/>
          <w:snapToGrid w:val="0"/>
          <w:szCs w:val="24"/>
          <w:lang w:val="en-GB" w:eastAsia="en-US"/>
        </w:rPr>
        <w:t>E</w:t>
      </w:r>
      <w:r w:rsidRPr="000846FD">
        <w:rPr>
          <w:rFonts w:eastAsia="Times New Roman"/>
          <w:i/>
          <w:snapToGrid w:val="0"/>
          <w:szCs w:val="24"/>
          <w:vertAlign w:val="subscript"/>
          <w:lang w:val="en-GB" w:eastAsia="en-US"/>
        </w:rPr>
        <w:t>d,t</w:t>
      </w:r>
      <w:r w:rsidRPr="000846FD">
        <w:rPr>
          <w:rFonts w:eastAsia="Times New Roman"/>
          <w:snapToGrid w:val="0"/>
          <w:szCs w:val="24"/>
          <w:lang w:val="en-GB" w:eastAsia="en-US"/>
        </w:rPr>
        <w:t xml:space="preserve"> demand estimated by this criterion was met by a set of medium-sized FV spring-dampers in current production (Jarret SL 2018), characterised by a nominal energy dissipation capacity, </w:t>
      </w:r>
      <w:r w:rsidRPr="000846FD">
        <w:rPr>
          <w:rFonts w:eastAsia="Times New Roman"/>
          <w:i/>
          <w:snapToGrid w:val="0"/>
          <w:szCs w:val="24"/>
          <w:lang w:val="en-GB" w:eastAsia="en-US"/>
        </w:rPr>
        <w:t>E</w:t>
      </w:r>
      <w:r w:rsidRPr="000846FD">
        <w:rPr>
          <w:rFonts w:eastAsia="Times New Roman"/>
          <w:i/>
          <w:snapToGrid w:val="0"/>
          <w:szCs w:val="24"/>
          <w:vertAlign w:val="subscript"/>
          <w:lang w:val="en-GB" w:eastAsia="en-US"/>
        </w:rPr>
        <w:t>n</w:t>
      </w:r>
      <w:r w:rsidRPr="000846FD">
        <w:rPr>
          <w:rFonts w:eastAsia="Times New Roman"/>
          <w:snapToGrid w:val="0"/>
          <w:szCs w:val="24"/>
          <w:lang w:val="en-GB" w:eastAsia="en-US"/>
        </w:rPr>
        <w:t xml:space="preserve">, equal to 50 kJ, and a stroke, </w:t>
      </w:r>
      <w:r w:rsidRPr="000846FD">
        <w:rPr>
          <w:rFonts w:eastAsia="Times New Roman"/>
          <w:i/>
          <w:snapToGrid w:val="0"/>
          <w:szCs w:val="24"/>
          <w:lang w:val="en-GB" w:eastAsia="en-US"/>
        </w:rPr>
        <w:t>x</w:t>
      </w:r>
      <w:r w:rsidRPr="000846FD">
        <w:rPr>
          <w:rFonts w:eastAsia="Times New Roman"/>
          <w:i/>
          <w:snapToGrid w:val="0"/>
          <w:szCs w:val="24"/>
          <w:vertAlign w:val="subscript"/>
          <w:lang w:val="en-GB" w:eastAsia="en-US"/>
        </w:rPr>
        <w:t>max</w:t>
      </w:r>
      <w:r w:rsidRPr="000846FD">
        <w:rPr>
          <w:rFonts w:eastAsia="Times New Roman"/>
          <w:snapToGrid w:val="0"/>
          <w:szCs w:val="24"/>
          <w:lang w:val="en-GB" w:eastAsia="en-US"/>
        </w:rPr>
        <w:t>, of ±65 mm (i.e. 65 mm in tension and 65 mm in compression). The supporting diagonal braces are made of square tubular steel profiles sized 200 mm × 8 mm.</w:t>
      </w:r>
    </w:p>
    <w:p w:rsidR="000846FD" w:rsidRPr="000846FD" w:rsidRDefault="000846FD" w:rsidP="000846FD">
      <w:pPr>
        <w:widowControl w:val="0"/>
        <w:tabs>
          <w:tab w:val="left" w:pos="0"/>
        </w:tabs>
        <w:suppressAutoHyphens/>
        <w:spacing w:after="0" w:line="240" w:lineRule="auto"/>
        <w:jc w:val="both"/>
        <w:rPr>
          <w:rFonts w:eastAsia="Times New Roman"/>
          <w:snapToGrid w:val="0"/>
          <w:szCs w:val="24"/>
          <w:lang w:val="en-US" w:eastAsia="en-US"/>
        </w:rPr>
      </w:pPr>
    </w:p>
    <w:p w:rsidR="000846FD" w:rsidRPr="000846FD" w:rsidRDefault="000846FD" w:rsidP="000846FD">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0846FD">
        <w:rPr>
          <w:rFonts w:eastAsia="Times New Roman"/>
          <w:b/>
          <w:i/>
          <w:snapToGrid w:val="0"/>
          <w:szCs w:val="24"/>
          <w:lang w:val="en-US" w:eastAsia="en-US"/>
        </w:rPr>
        <w:t xml:space="preserve">5.2 </w:t>
      </w:r>
      <w:r w:rsidRPr="000846FD">
        <w:rPr>
          <w:rFonts w:eastAsia="Times New Roman"/>
          <w:b/>
          <w:i/>
          <w:snapToGrid w:val="0"/>
          <w:szCs w:val="24"/>
          <w:lang w:val="en-GB" w:eastAsia="en-US"/>
        </w:rPr>
        <w:t>Final Sizing of Structural Members – Modal Analysis</w:t>
      </w:r>
    </w:p>
    <w:p w:rsidR="000846FD" w:rsidRPr="000846FD" w:rsidRDefault="000846FD" w:rsidP="000846FD">
      <w:pPr>
        <w:widowControl w:val="0"/>
        <w:spacing w:after="0" w:line="240" w:lineRule="auto"/>
        <w:jc w:val="both"/>
        <w:rPr>
          <w:rFonts w:eastAsia="Times New Roman"/>
          <w:snapToGrid w:val="0"/>
          <w:szCs w:val="24"/>
          <w:lang w:val="en-US" w:eastAsia="en-US"/>
        </w:rPr>
      </w:pPr>
    </w:p>
    <w:p w:rsidR="000846FD" w:rsidRPr="000846FD" w:rsidRDefault="000846FD" w:rsidP="000846FD">
      <w:pPr>
        <w:widowControl w:val="0"/>
        <w:spacing w:after="0" w:line="240" w:lineRule="auto"/>
        <w:jc w:val="both"/>
        <w:rPr>
          <w:rFonts w:eastAsia="Times New Roman"/>
          <w:snapToGrid w:val="0"/>
          <w:szCs w:val="24"/>
          <w:lang w:val="en-US" w:eastAsia="en-US"/>
        </w:rPr>
      </w:pPr>
      <w:r w:rsidRPr="000846FD">
        <w:rPr>
          <w:rFonts w:eastAsia="Times New Roman"/>
          <w:snapToGrid w:val="0"/>
          <w:szCs w:val="24"/>
          <w:lang w:val="en-US" w:eastAsia="en-US"/>
        </w:rPr>
        <w:t>The final sizing of columns and plinths in the presence of the DB system is highlighted by the drawings in Figure 6. Columns have sections of (600×600) mm×mm and are reinforced by 24 Ø20 bars, with Ø12 stirrups spaced at 150 mm (bottom end zone) and 250 mm (remaining zones). Plinths have square plan with sizes of 2600 mm, bottom flange height of 600 mm, and total height of 1100 mm. The resulting concrete volume of columns and plinths is approximately equal to half the volume obtained for the traditional design solution; the quantity of reinforcement is reduced by about 15%.</w:t>
      </w:r>
    </w:p>
    <w:p w:rsidR="000846FD" w:rsidRPr="000846FD" w:rsidRDefault="000846FD" w:rsidP="000846FD">
      <w:pPr>
        <w:widowControl w:val="0"/>
        <w:spacing w:after="0" w:line="240" w:lineRule="auto"/>
        <w:jc w:val="both"/>
        <w:rPr>
          <w:rFonts w:eastAsia="Times New Roman"/>
          <w:snapToGrid w:val="0"/>
          <w:szCs w:val="24"/>
          <w:lang w:val="en-US" w:eastAsia="en-US"/>
        </w:rPr>
      </w:pPr>
      <w:r w:rsidRPr="000846FD">
        <w:rPr>
          <w:rFonts w:eastAsia="Times New Roman"/>
          <w:snapToGrid w:val="0"/>
          <w:szCs w:val="24"/>
          <w:lang w:val="en-US" w:eastAsia="en-US"/>
        </w:rPr>
        <w:t xml:space="preserve">  </w:t>
      </w:r>
    </w:p>
    <w:p w:rsidR="000846FD" w:rsidRPr="000846FD" w:rsidRDefault="000846FD" w:rsidP="000846FD">
      <w:pPr>
        <w:widowControl w:val="0"/>
        <w:spacing w:after="0" w:line="240" w:lineRule="auto"/>
        <w:jc w:val="both"/>
        <w:rPr>
          <w:rFonts w:eastAsia="Times New Roman"/>
          <w:snapToGrid w:val="0"/>
          <w:szCs w:val="24"/>
          <w:lang w:val="en-US" w:eastAsia="en-US"/>
        </w:rPr>
      </w:pPr>
      <w:r w:rsidRPr="000846FD">
        <w:rPr>
          <w:rFonts w:eastAsia="Times New Roman"/>
          <w:noProof/>
          <w:snapToGrid w:val="0"/>
          <w:szCs w:val="24"/>
        </w:rPr>
        <w:drawing>
          <wp:anchor distT="0" distB="0" distL="114300" distR="114300" simplePos="0" relativeHeight="251672576" behindDoc="0" locked="0" layoutInCell="1" allowOverlap="1" wp14:anchorId="5DC3EF5B" wp14:editId="40C26301">
            <wp:simplePos x="0" y="0"/>
            <wp:positionH relativeFrom="column">
              <wp:posOffset>1280160</wp:posOffset>
            </wp:positionH>
            <wp:positionV relativeFrom="paragraph">
              <wp:posOffset>-87630</wp:posOffset>
            </wp:positionV>
            <wp:extent cx="3692525" cy="1149350"/>
            <wp:effectExtent l="19050" t="0" r="3175" b="0"/>
            <wp:wrapNone/>
            <wp:docPr id="1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20643" t="41055" r="17531" b="45308"/>
                    <a:stretch>
                      <a:fillRect/>
                    </a:stretch>
                  </pic:blipFill>
                  <pic:spPr bwMode="auto">
                    <a:xfrm>
                      <a:off x="0" y="0"/>
                      <a:ext cx="3692525" cy="1149350"/>
                    </a:xfrm>
                    <a:prstGeom prst="rect">
                      <a:avLst/>
                    </a:prstGeom>
                    <a:noFill/>
                    <a:ln w="9525">
                      <a:noFill/>
                      <a:miter lim="800000"/>
                      <a:headEnd/>
                      <a:tailEnd/>
                    </a:ln>
                  </pic:spPr>
                </pic:pic>
              </a:graphicData>
            </a:graphic>
          </wp:anchor>
        </w:drawing>
      </w:r>
    </w:p>
    <w:p w:rsidR="000846FD" w:rsidRPr="000846FD" w:rsidRDefault="000846FD" w:rsidP="000846FD">
      <w:pPr>
        <w:widowControl w:val="0"/>
        <w:spacing w:after="0" w:line="240" w:lineRule="auto"/>
        <w:jc w:val="both"/>
        <w:rPr>
          <w:rFonts w:eastAsia="Times New Roman"/>
          <w:snapToGrid w:val="0"/>
          <w:szCs w:val="24"/>
          <w:lang w:val="en-US" w:eastAsia="en-US"/>
        </w:rPr>
      </w:pPr>
    </w:p>
    <w:p w:rsidR="000846FD" w:rsidRPr="000846FD" w:rsidRDefault="000846FD" w:rsidP="000846FD">
      <w:pPr>
        <w:widowControl w:val="0"/>
        <w:spacing w:after="0" w:line="240" w:lineRule="auto"/>
        <w:jc w:val="both"/>
        <w:rPr>
          <w:rFonts w:eastAsia="Times New Roman"/>
          <w:snapToGrid w:val="0"/>
          <w:szCs w:val="24"/>
          <w:lang w:val="en-US" w:eastAsia="en-US"/>
        </w:rPr>
      </w:pPr>
    </w:p>
    <w:p w:rsidR="000846FD" w:rsidRPr="000846FD" w:rsidRDefault="000846FD" w:rsidP="000846FD">
      <w:pPr>
        <w:widowControl w:val="0"/>
        <w:spacing w:after="0" w:line="240" w:lineRule="auto"/>
        <w:jc w:val="both"/>
        <w:rPr>
          <w:rFonts w:eastAsia="Times New Roman"/>
          <w:snapToGrid w:val="0"/>
          <w:szCs w:val="24"/>
          <w:lang w:val="en-US" w:eastAsia="en-US"/>
        </w:rPr>
      </w:pPr>
    </w:p>
    <w:p w:rsidR="000846FD" w:rsidRPr="000846FD" w:rsidRDefault="000846FD" w:rsidP="000846FD">
      <w:pPr>
        <w:widowControl w:val="0"/>
        <w:spacing w:after="0" w:line="240" w:lineRule="auto"/>
        <w:jc w:val="both"/>
        <w:rPr>
          <w:rFonts w:eastAsia="Times New Roman"/>
          <w:snapToGrid w:val="0"/>
          <w:szCs w:val="24"/>
          <w:lang w:val="en-US" w:eastAsia="en-US"/>
        </w:rPr>
      </w:pPr>
    </w:p>
    <w:p w:rsidR="000846FD" w:rsidRPr="000846FD" w:rsidRDefault="000846FD" w:rsidP="000846FD">
      <w:pPr>
        <w:widowControl w:val="0"/>
        <w:spacing w:after="0" w:line="240" w:lineRule="auto"/>
        <w:jc w:val="both"/>
        <w:rPr>
          <w:rFonts w:eastAsia="Times New Roman"/>
          <w:snapToGrid w:val="0"/>
          <w:szCs w:val="24"/>
          <w:lang w:val="en-US" w:eastAsia="en-US"/>
        </w:rPr>
      </w:pPr>
    </w:p>
    <w:p w:rsidR="000846FD" w:rsidRPr="000846FD" w:rsidRDefault="000846FD" w:rsidP="000846FD">
      <w:pPr>
        <w:widowControl w:val="0"/>
        <w:spacing w:after="0" w:line="240" w:lineRule="auto"/>
        <w:jc w:val="both"/>
        <w:rPr>
          <w:rFonts w:eastAsia="Times New Roman"/>
          <w:snapToGrid w:val="0"/>
          <w:szCs w:val="24"/>
          <w:lang w:val="en-US" w:eastAsia="en-US"/>
        </w:rPr>
      </w:pPr>
    </w:p>
    <w:p w:rsidR="000846FD" w:rsidRPr="000846FD" w:rsidRDefault="000846FD" w:rsidP="000846FD">
      <w:pPr>
        <w:widowControl w:val="0"/>
        <w:spacing w:after="0" w:line="240" w:lineRule="auto"/>
        <w:jc w:val="center"/>
        <w:rPr>
          <w:rFonts w:eastAsia="Times New Roman"/>
          <w:snapToGrid w:val="0"/>
          <w:sz w:val="20"/>
          <w:szCs w:val="20"/>
          <w:lang w:val="en-GB" w:eastAsia="it-IT"/>
        </w:rPr>
      </w:pPr>
      <w:r w:rsidRPr="000846FD">
        <w:rPr>
          <w:rFonts w:eastAsia="Times New Roman"/>
          <w:snapToGrid w:val="0"/>
          <w:sz w:val="20"/>
          <w:szCs w:val="20"/>
          <w:lang w:val="en-GB" w:eastAsia="it-IT"/>
        </w:rPr>
        <w:t xml:space="preserve">Figure 6. DB-based design. </w:t>
      </w:r>
      <w:r w:rsidRPr="000846FD">
        <w:rPr>
          <w:rFonts w:eastAsia="Times New Roman"/>
          <w:bCs/>
          <w:snapToGrid w:val="0"/>
          <w:sz w:val="20"/>
          <w:szCs w:val="20"/>
          <w:lang w:val="en-GB" w:eastAsia="it-IT"/>
        </w:rPr>
        <w:t xml:space="preserve">Structural details of a column and a foundation plinth </w:t>
      </w:r>
      <w:r w:rsidRPr="000846FD">
        <w:rPr>
          <w:rFonts w:eastAsia="Times New Roman"/>
          <w:snapToGrid w:val="0"/>
          <w:sz w:val="20"/>
          <w:szCs w:val="20"/>
          <w:lang w:val="en-GB" w:eastAsia="it-IT"/>
        </w:rPr>
        <w:t>(dimension in millimeters)</w:t>
      </w:r>
      <w:r w:rsidRPr="000846FD">
        <w:rPr>
          <w:rFonts w:eastAsia="Times New Roman"/>
          <w:bCs/>
          <w:noProof/>
          <w:snapToGrid w:val="0"/>
          <w:sz w:val="20"/>
          <w:szCs w:val="20"/>
          <w:lang w:val="en-GB" w:eastAsia="it-IT"/>
        </w:rPr>
        <w:t xml:space="preserve"> </w:t>
      </w:r>
    </w:p>
    <w:p w:rsidR="000846FD" w:rsidRPr="000846FD" w:rsidRDefault="000846FD" w:rsidP="000846FD">
      <w:pPr>
        <w:widowControl w:val="0"/>
        <w:tabs>
          <w:tab w:val="left" w:pos="7655"/>
        </w:tabs>
        <w:spacing w:after="0" w:line="240" w:lineRule="auto"/>
        <w:jc w:val="both"/>
        <w:rPr>
          <w:rFonts w:eastAsia="Times New Roman"/>
          <w:snapToGrid w:val="0"/>
          <w:szCs w:val="24"/>
          <w:lang w:val="en-US" w:eastAsia="en-US"/>
        </w:rPr>
      </w:pPr>
    </w:p>
    <w:p w:rsidR="000846FD" w:rsidRPr="000846FD" w:rsidRDefault="000846FD" w:rsidP="000846FD">
      <w:pPr>
        <w:widowControl w:val="0"/>
        <w:spacing w:after="0" w:line="240" w:lineRule="auto"/>
        <w:jc w:val="both"/>
        <w:rPr>
          <w:rFonts w:eastAsia="Times New Roman"/>
          <w:snapToGrid w:val="0"/>
          <w:szCs w:val="24"/>
          <w:lang w:val="en-US" w:eastAsia="en-US"/>
        </w:rPr>
      </w:pPr>
      <w:r w:rsidRPr="000846FD">
        <w:rPr>
          <w:rFonts w:eastAsia="Times New Roman"/>
          <w:snapToGrid w:val="0"/>
          <w:szCs w:val="24"/>
          <w:lang w:val="en-US" w:eastAsia="en-US"/>
        </w:rPr>
        <w:t xml:space="preserve">Based on the outcome of the design process, a new modal analysis was carried out with the finite element model of the structure including the DB system, which shows the same sequence of modes observed for the traditional design, i.e. a first translational mode in X, with period of 1.885 s and EMM equal to 97.3%; a first translational mode in Y, with period of 1.828 s and EMM equal to 97%; and a first rotational mode around the vertical axis, with period and EMM of 1.644 s and 97.6%. The increase of periods is caused by the remarkable reduction of column size, negligibly counterbalanced by the stiffening effect of the dissipative braces. Indeed, the technical installation of FV spring-dampers and steel braces, which corresponds to an in-series rheological scheme, determines a relatively small horizontal translation stiffness of the DB system in dynamic response conditions, as it is essentially determined by the very low second-branch spring stiffness of the devices, </w:t>
      </w:r>
      <w:r w:rsidRPr="000846FD">
        <w:rPr>
          <w:rFonts w:eastAsia="Times New Roman"/>
          <w:i/>
          <w:snapToGrid w:val="0"/>
          <w:szCs w:val="24"/>
          <w:lang w:val="en-US" w:eastAsia="en-US"/>
        </w:rPr>
        <w:t>k</w:t>
      </w:r>
      <w:r w:rsidRPr="000846FD">
        <w:rPr>
          <w:rFonts w:eastAsia="Times New Roman"/>
          <w:snapToGrid w:val="0"/>
          <w:szCs w:val="24"/>
          <w:vertAlign w:val="subscript"/>
          <w:lang w:val="en-US" w:eastAsia="en-US"/>
        </w:rPr>
        <w:t>2</w:t>
      </w:r>
      <w:r w:rsidRPr="000846FD">
        <w:rPr>
          <w:rFonts w:eastAsia="Times New Roman"/>
          <w:snapToGrid w:val="0"/>
          <w:szCs w:val="24"/>
          <w:lang w:val="en-US" w:eastAsia="en-US"/>
        </w:rPr>
        <w:t>. Consequently, this causes a little increase of the horizontal stiffness of the structures where the system is incorporated.</w:t>
      </w:r>
    </w:p>
    <w:p w:rsidR="000846FD" w:rsidRPr="000846FD" w:rsidRDefault="000846FD" w:rsidP="000846FD">
      <w:pPr>
        <w:widowControl w:val="0"/>
        <w:spacing w:after="0" w:line="240" w:lineRule="auto"/>
        <w:jc w:val="both"/>
        <w:rPr>
          <w:rFonts w:eastAsia="Times New Roman"/>
          <w:snapToGrid w:val="0"/>
          <w:szCs w:val="24"/>
          <w:lang w:val="en-US" w:eastAsia="en-US"/>
        </w:rPr>
      </w:pPr>
    </w:p>
    <w:p w:rsidR="000846FD" w:rsidRPr="000846FD" w:rsidRDefault="000846FD" w:rsidP="000846FD">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0846FD">
        <w:rPr>
          <w:rFonts w:eastAsia="Times New Roman"/>
          <w:b/>
          <w:i/>
          <w:snapToGrid w:val="0"/>
          <w:szCs w:val="24"/>
          <w:lang w:val="en-US" w:eastAsia="en-US"/>
        </w:rPr>
        <w:t xml:space="preserve">5.3 </w:t>
      </w:r>
      <w:r w:rsidRPr="000846FD">
        <w:rPr>
          <w:rFonts w:eastAsia="Times New Roman"/>
          <w:b/>
          <w:i/>
          <w:snapToGrid w:val="0"/>
          <w:szCs w:val="24"/>
          <w:lang w:val="en-GB" w:eastAsia="en-US"/>
        </w:rPr>
        <w:t>Time-History Verification and Performance Assessment Analysis</w:t>
      </w:r>
    </w:p>
    <w:p w:rsidR="000846FD" w:rsidRPr="000846FD" w:rsidRDefault="000846FD" w:rsidP="000846FD">
      <w:pPr>
        <w:widowControl w:val="0"/>
        <w:spacing w:after="0" w:line="240" w:lineRule="auto"/>
        <w:jc w:val="both"/>
        <w:rPr>
          <w:rFonts w:eastAsia="Times New Roman"/>
          <w:snapToGrid w:val="0"/>
          <w:szCs w:val="24"/>
          <w:lang w:val="en-US"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r w:rsidRPr="000846FD">
        <w:rPr>
          <w:rFonts w:eastAsia="Times New Roman"/>
          <w:bCs/>
          <w:snapToGrid w:val="0"/>
          <w:szCs w:val="24"/>
          <w:lang w:val="en-GB" w:eastAsia="en-US"/>
        </w:rPr>
        <w:t>The total reaction force</w:t>
      </w:r>
      <w:r w:rsidRPr="000846FD">
        <w:rPr>
          <w:rFonts w:eastAsia="Times New Roman"/>
          <w:snapToGrid w:val="0"/>
          <w:szCs w:val="24"/>
          <w:lang w:val="en-GB" w:eastAsia="en-US"/>
        </w:rPr>
        <w:t>–</w:t>
      </w:r>
      <w:r w:rsidRPr="000846FD">
        <w:rPr>
          <w:rFonts w:eastAsia="Times New Roman"/>
          <w:bCs/>
          <w:snapToGrid w:val="0"/>
          <w:szCs w:val="24"/>
          <w:lang w:val="en-GB" w:eastAsia="en-US"/>
        </w:rPr>
        <w:t>displacement [(</w:t>
      </w:r>
      <w:r w:rsidRPr="000846FD">
        <w:rPr>
          <w:rFonts w:eastAsia="Times New Roman"/>
          <w:i/>
          <w:snapToGrid w:val="0"/>
          <w:szCs w:val="24"/>
          <w:lang w:val="en-GB" w:eastAsia="en-US"/>
        </w:rPr>
        <w:t>F</w:t>
      </w:r>
      <w:r w:rsidRPr="000846FD">
        <w:rPr>
          <w:rFonts w:eastAsia="Times New Roman"/>
          <w:i/>
          <w:snapToGrid w:val="0"/>
          <w:szCs w:val="24"/>
          <w:vertAlign w:val="subscript"/>
          <w:lang w:val="en-GB" w:eastAsia="en-US"/>
        </w:rPr>
        <w:t>d</w:t>
      </w:r>
      <w:r w:rsidRPr="000846FD">
        <w:rPr>
          <w:rFonts w:eastAsia="Times New Roman"/>
          <w:snapToGrid w:val="0"/>
          <w:szCs w:val="24"/>
          <w:lang w:val="en-GB" w:eastAsia="en-US"/>
        </w:rPr>
        <w:t>(</w:t>
      </w:r>
      <w:r w:rsidRPr="000846FD">
        <w:rPr>
          <w:rFonts w:eastAsia="Times New Roman"/>
          <w:i/>
          <w:snapToGrid w:val="0"/>
          <w:szCs w:val="24"/>
          <w:lang w:val="en-GB" w:eastAsia="en-US"/>
        </w:rPr>
        <w:t>t</w:t>
      </w:r>
      <w:r w:rsidRPr="000846FD">
        <w:rPr>
          <w:rFonts w:eastAsia="Times New Roman"/>
          <w:snapToGrid w:val="0"/>
          <w:szCs w:val="24"/>
          <w:lang w:val="en-GB" w:eastAsia="en-US"/>
        </w:rPr>
        <w:t>)+</w:t>
      </w:r>
      <w:r w:rsidRPr="000846FD">
        <w:rPr>
          <w:rFonts w:eastAsia="Times New Roman"/>
          <w:i/>
          <w:snapToGrid w:val="0"/>
          <w:szCs w:val="24"/>
          <w:lang w:val="en-GB" w:eastAsia="en-US"/>
        </w:rPr>
        <w:t>F</w:t>
      </w:r>
      <w:r w:rsidRPr="000846FD">
        <w:rPr>
          <w:rFonts w:eastAsia="Times New Roman"/>
          <w:i/>
          <w:snapToGrid w:val="0"/>
          <w:szCs w:val="24"/>
          <w:vertAlign w:val="subscript"/>
          <w:lang w:val="en-GB" w:eastAsia="en-US"/>
        </w:rPr>
        <w:t>ne</w:t>
      </w:r>
      <w:r w:rsidRPr="000846FD">
        <w:rPr>
          <w:rFonts w:eastAsia="Times New Roman"/>
          <w:snapToGrid w:val="0"/>
          <w:szCs w:val="24"/>
          <w:lang w:val="en-GB" w:eastAsia="en-US"/>
        </w:rPr>
        <w:t>(</w:t>
      </w:r>
      <w:r w:rsidRPr="000846FD">
        <w:rPr>
          <w:rFonts w:eastAsia="Times New Roman"/>
          <w:i/>
          <w:snapToGrid w:val="0"/>
          <w:szCs w:val="24"/>
          <w:lang w:val="en-GB" w:eastAsia="en-US"/>
        </w:rPr>
        <w:t>t</w:t>
      </w:r>
      <w:r w:rsidRPr="000846FD">
        <w:rPr>
          <w:rFonts w:eastAsia="Times New Roman"/>
          <w:snapToGrid w:val="0"/>
          <w:szCs w:val="24"/>
          <w:lang w:val="en-GB" w:eastAsia="en-US"/>
        </w:rPr>
        <w:t>)]–</w:t>
      </w:r>
      <w:r w:rsidRPr="000846FD">
        <w:rPr>
          <w:rFonts w:eastAsia="Times New Roman"/>
          <w:i/>
          <w:snapToGrid w:val="0"/>
          <w:szCs w:val="24"/>
          <w:lang w:val="en-GB" w:eastAsia="en-US"/>
        </w:rPr>
        <w:t>x</w:t>
      </w:r>
      <w:r w:rsidRPr="000846FD">
        <w:rPr>
          <w:rFonts w:eastAsia="Times New Roman"/>
          <w:snapToGrid w:val="0"/>
          <w:szCs w:val="24"/>
          <w:lang w:val="en-GB" w:eastAsia="en-US"/>
        </w:rPr>
        <w:t>(</w:t>
      </w:r>
      <w:r w:rsidRPr="000846FD">
        <w:rPr>
          <w:rFonts w:eastAsia="Times New Roman"/>
          <w:i/>
          <w:snapToGrid w:val="0"/>
          <w:szCs w:val="24"/>
          <w:lang w:val="en-GB" w:eastAsia="en-US"/>
        </w:rPr>
        <w:t>t</w:t>
      </w:r>
      <w:r w:rsidRPr="000846FD">
        <w:rPr>
          <w:rFonts w:eastAsia="Times New Roman"/>
          <w:snapToGrid w:val="0"/>
          <w:szCs w:val="24"/>
          <w:lang w:val="en-GB" w:eastAsia="en-US"/>
        </w:rPr>
        <w:t xml:space="preserve">) </w:t>
      </w:r>
      <w:r w:rsidRPr="000846FD">
        <w:rPr>
          <w:rFonts w:eastAsia="Times New Roman"/>
          <w:bCs/>
          <w:snapToGrid w:val="0"/>
          <w:szCs w:val="24"/>
          <w:lang w:val="en-GB" w:eastAsia="en-US"/>
        </w:rPr>
        <w:t xml:space="preserve">cycles of the pair of FV dampers installed in C14-S4 alignment, obtained from the most demanding MCE-scaled group of input motions, are visualized in the graph on the left in Figure 7. The response cycles exhibit peak displacements equal to about 38 mm, i.e. no greater than 0.6 times the available stroke limit of </w:t>
      </w:r>
      <w:r w:rsidRPr="000846FD">
        <w:rPr>
          <w:rFonts w:eastAsia="Times New Roman"/>
          <w:bCs/>
          <w:snapToGrid w:val="0"/>
          <w:szCs w:val="24"/>
          <w:lang w:val="en-GB" w:eastAsia="en-US"/>
        </w:rPr>
        <w:sym w:font="Symbol" w:char="F0B1"/>
      </w:r>
      <w:r w:rsidRPr="000846FD">
        <w:rPr>
          <w:rFonts w:eastAsia="Times New Roman"/>
          <w:bCs/>
          <w:snapToGrid w:val="0"/>
          <w:szCs w:val="24"/>
          <w:lang w:val="en-GB" w:eastAsia="en-US"/>
        </w:rPr>
        <w:t xml:space="preserve">65 mm mentioned above. Similar results come out for the other alignments and the other input accelerograms. The energy time-histories plotted in the graph on the right in Figure 7 assess that the energy dissipated by the FV elements is nearly equal to the targeted 85% of the input energy. </w:t>
      </w: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r w:rsidRPr="000846FD">
        <w:rPr>
          <w:rFonts w:eastAsia="Times New Roman"/>
          <w:bCs/>
          <w:noProof/>
          <w:snapToGrid w:val="0"/>
          <w:szCs w:val="24"/>
        </w:rPr>
        <w:drawing>
          <wp:anchor distT="0" distB="0" distL="114300" distR="114300" simplePos="0" relativeHeight="251664384" behindDoc="0" locked="0" layoutInCell="1" allowOverlap="1" wp14:anchorId="7C5CFB3F" wp14:editId="161F9095">
            <wp:simplePos x="0" y="0"/>
            <wp:positionH relativeFrom="column">
              <wp:posOffset>1400810</wp:posOffset>
            </wp:positionH>
            <wp:positionV relativeFrom="paragraph">
              <wp:posOffset>15875</wp:posOffset>
            </wp:positionV>
            <wp:extent cx="3346450" cy="1238250"/>
            <wp:effectExtent l="19050" t="0" r="6350" b="0"/>
            <wp:wrapNone/>
            <wp:docPr id="1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22510" t="40689" r="22822" b="45015"/>
                    <a:stretch>
                      <a:fillRect/>
                    </a:stretch>
                  </pic:blipFill>
                  <pic:spPr bwMode="auto">
                    <a:xfrm>
                      <a:off x="0" y="0"/>
                      <a:ext cx="3346450" cy="1238250"/>
                    </a:xfrm>
                    <a:prstGeom prst="rect">
                      <a:avLst/>
                    </a:prstGeom>
                    <a:noFill/>
                    <a:ln w="9525">
                      <a:noFill/>
                      <a:miter lim="800000"/>
                      <a:headEnd/>
                      <a:tailEnd/>
                    </a:ln>
                  </pic:spPr>
                </pic:pic>
              </a:graphicData>
            </a:graphic>
          </wp:anchor>
        </w:drawing>
      </w: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US"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US" w:eastAsia="en-US"/>
        </w:rPr>
      </w:pPr>
    </w:p>
    <w:p w:rsidR="000846FD" w:rsidRPr="000846FD" w:rsidRDefault="000846FD" w:rsidP="000846FD">
      <w:pPr>
        <w:widowControl w:val="0"/>
        <w:spacing w:after="0" w:line="240" w:lineRule="auto"/>
        <w:jc w:val="center"/>
        <w:rPr>
          <w:rFonts w:eastAsia="Times New Roman"/>
          <w:snapToGrid w:val="0"/>
          <w:sz w:val="20"/>
          <w:szCs w:val="24"/>
          <w:lang w:val="en-GB" w:eastAsia="it-IT"/>
        </w:rPr>
      </w:pPr>
      <w:r w:rsidRPr="000846FD">
        <w:rPr>
          <w:rFonts w:eastAsia="Times New Roman"/>
          <w:sz w:val="20"/>
          <w:szCs w:val="24"/>
          <w:lang w:val="en-US" w:eastAsia="en-US"/>
        </w:rPr>
        <w:t>Figure 7. DB-based design. Response cycles of the spring-damper pair incorporated in the C14-S4 alignment, and energy time-histories of the structure obtained from the most demanding MCE-scaled group</w:t>
      </w:r>
      <w:r w:rsidRPr="000846FD">
        <w:rPr>
          <w:rFonts w:eastAsia="Times New Roman"/>
          <w:snapToGrid w:val="0"/>
          <w:sz w:val="20"/>
          <w:szCs w:val="24"/>
          <w:lang w:val="en-GB" w:eastAsia="it-IT"/>
        </w:rPr>
        <w:t xml:space="preserve"> of input accelerograms</w:t>
      </w:r>
    </w:p>
    <w:p w:rsidR="000846FD" w:rsidRPr="000846FD" w:rsidRDefault="000846FD" w:rsidP="000846FD">
      <w:pPr>
        <w:spacing w:after="160" w:line="259" w:lineRule="auto"/>
        <w:rPr>
          <w:rFonts w:eastAsia="Times New Roman"/>
          <w:snapToGrid w:val="0"/>
          <w:szCs w:val="24"/>
          <w:lang w:val="en-GB" w:eastAsia="en-US"/>
        </w:rPr>
      </w:pPr>
      <w:r w:rsidRPr="000846FD">
        <w:rPr>
          <w:rFonts w:eastAsia="Times New Roman"/>
          <w:snapToGrid w:val="0"/>
          <w:szCs w:val="24"/>
          <w:lang w:val="en-GB" w:eastAsia="en-US"/>
        </w:rPr>
        <w:br w:type="page"/>
      </w: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r w:rsidRPr="000846FD">
        <w:rPr>
          <w:rFonts w:eastAsia="Times New Roman"/>
          <w:bCs/>
          <w:snapToGrid w:val="0"/>
          <w:szCs w:val="24"/>
          <w:lang w:val="en-GB" w:eastAsia="en-US"/>
        </w:rPr>
        <w:t xml:space="preserve">The base shear and top displacement time-histories obtained in Y direction from the most demanding MCE-scaled group of input motions, displayed in Figure 8, highlight a reduction factor of about 3.2 (peak base shears) and 2.6 (peak top displacements) when passing from the traditional to the DB-based design. The drop in base shear produces a corresponding decrease of the stress states in columns, determining their elastic response up to the MCE, as targeted in this design. Consistently, the maximum value of the coefficient of exploitation </w:t>
      </w:r>
      <w:r w:rsidRPr="000846FD">
        <w:rPr>
          <w:rFonts w:eastAsia="Times New Roman"/>
          <w:bCs/>
          <w:snapToGrid w:val="0"/>
          <w:szCs w:val="24"/>
          <w:lang w:val="en-GB" w:eastAsia="en-US"/>
        </w:rPr>
        <w:sym w:font="Symbol" w:char="F072"/>
      </w:r>
      <w:r w:rsidRPr="000846FD">
        <w:rPr>
          <w:rFonts w:eastAsia="Times New Roman"/>
          <w:bCs/>
          <w:snapToGrid w:val="0"/>
          <w:szCs w:val="24"/>
          <w:lang w:val="en-GB" w:eastAsia="en-US"/>
        </w:rPr>
        <w:t xml:space="preserve"> at the MCE results to be equal to 0.97. The reduction of top displacements leads to peak drift ratios of panels equal to 0.45% at the BDE, and 0.6% at the MCE, both below the 0.66% OP-related drift limit. This means that no damage of panels is expected up to the MCE. </w:t>
      </w: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r w:rsidRPr="000846FD">
        <w:rPr>
          <w:rFonts w:eastAsia="Times New Roman"/>
          <w:bCs/>
          <w:noProof/>
          <w:snapToGrid w:val="0"/>
          <w:szCs w:val="24"/>
        </w:rPr>
        <w:drawing>
          <wp:anchor distT="0" distB="0" distL="114300" distR="114300" simplePos="0" relativeHeight="251673600" behindDoc="0" locked="0" layoutInCell="1" allowOverlap="1" wp14:anchorId="53FA5ECC" wp14:editId="47139A91">
            <wp:simplePos x="0" y="0"/>
            <wp:positionH relativeFrom="column">
              <wp:posOffset>1346124</wp:posOffset>
            </wp:positionH>
            <wp:positionV relativeFrom="paragraph">
              <wp:posOffset>58031</wp:posOffset>
            </wp:positionV>
            <wp:extent cx="3462873" cy="1201003"/>
            <wp:effectExtent l="19050" t="0" r="4227" b="0"/>
            <wp:wrapNone/>
            <wp:docPr id="1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21370" t="41569" r="22095" b="44575"/>
                    <a:stretch>
                      <a:fillRect/>
                    </a:stretch>
                  </pic:blipFill>
                  <pic:spPr bwMode="auto">
                    <a:xfrm>
                      <a:off x="0" y="0"/>
                      <a:ext cx="3462873" cy="1201003"/>
                    </a:xfrm>
                    <a:prstGeom prst="rect">
                      <a:avLst/>
                    </a:prstGeom>
                    <a:noFill/>
                    <a:ln w="9525">
                      <a:noFill/>
                      <a:miter lim="800000"/>
                      <a:headEnd/>
                      <a:tailEnd/>
                    </a:ln>
                  </pic:spPr>
                </pic:pic>
              </a:graphicData>
            </a:graphic>
          </wp:anchor>
        </w:drawing>
      </w: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spacing w:after="0" w:line="240" w:lineRule="auto"/>
        <w:jc w:val="center"/>
        <w:rPr>
          <w:rFonts w:eastAsia="Times New Roman"/>
          <w:snapToGrid w:val="0"/>
          <w:sz w:val="20"/>
          <w:szCs w:val="24"/>
          <w:lang w:val="en-GB" w:eastAsia="it-IT"/>
        </w:rPr>
      </w:pPr>
      <w:r w:rsidRPr="000846FD">
        <w:rPr>
          <w:rFonts w:eastAsia="Times New Roman"/>
          <w:snapToGrid w:val="0"/>
          <w:sz w:val="20"/>
          <w:szCs w:val="24"/>
          <w:lang w:val="en-GB" w:eastAsia="it-IT"/>
        </w:rPr>
        <w:t xml:space="preserve">Figure 8. Comparison of base shear and top displacement time-histories in Y direction for the traditional and DB-based designs  </w:t>
      </w: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snapToGrid w:val="0"/>
          <w:szCs w:val="24"/>
          <w:lang w:val="en-GB" w:eastAsia="en-US"/>
        </w:rPr>
      </w:pPr>
      <w:r w:rsidRPr="000846FD">
        <w:rPr>
          <w:rFonts w:eastAsia="Times New Roman"/>
          <w:snapToGrid w:val="0"/>
          <w:szCs w:val="24"/>
          <w:lang w:val="en-GB" w:eastAsia="en-US"/>
        </w:rPr>
        <w:t>The estimated total cost of the structure amounts to about 627,000 Euros, that is, 2.8% greater than the cost of the conventional design.</w:t>
      </w:r>
    </w:p>
    <w:p w:rsidR="000846FD" w:rsidRPr="000846FD" w:rsidRDefault="000846FD" w:rsidP="000846FD">
      <w:pPr>
        <w:widowControl w:val="0"/>
        <w:tabs>
          <w:tab w:val="left" w:pos="0"/>
        </w:tabs>
        <w:suppressAutoHyphens/>
        <w:spacing w:after="0" w:line="240" w:lineRule="auto"/>
        <w:jc w:val="both"/>
        <w:rPr>
          <w:rFonts w:eastAsia="Times New Roman"/>
          <w:snapToGrid w:val="0"/>
          <w:szCs w:val="24"/>
          <w:lang w:val="en-US" w:eastAsia="en-US"/>
        </w:rPr>
      </w:pPr>
    </w:p>
    <w:p w:rsidR="000846FD" w:rsidRPr="000846FD" w:rsidRDefault="000846FD" w:rsidP="000846FD">
      <w:pPr>
        <w:widowControl w:val="0"/>
        <w:tabs>
          <w:tab w:val="left" w:pos="0"/>
        </w:tabs>
        <w:suppressAutoHyphens/>
        <w:spacing w:after="0" w:line="240" w:lineRule="auto"/>
        <w:jc w:val="both"/>
        <w:rPr>
          <w:rFonts w:eastAsia="Times New Roman"/>
          <w:snapToGrid w:val="0"/>
          <w:szCs w:val="24"/>
          <w:lang w:val="en-US" w:eastAsia="en-US"/>
        </w:rPr>
      </w:pPr>
    </w:p>
    <w:p w:rsidR="000846FD" w:rsidRPr="000846FD" w:rsidRDefault="000846FD" w:rsidP="000846FD">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0846FD">
        <w:rPr>
          <w:rFonts w:eastAsia="Times New Roman"/>
          <w:b/>
          <w:caps/>
          <w:snapToGrid w:val="0"/>
          <w:szCs w:val="24"/>
          <w:lang w:val="en-US" w:eastAsia="en-US"/>
        </w:rPr>
        <w:t xml:space="preserve">6. </w:t>
      </w:r>
      <w:r w:rsidRPr="000846FD">
        <w:rPr>
          <w:rFonts w:eastAsia="Times New Roman"/>
          <w:b/>
          <w:bCs/>
          <w:caps/>
          <w:snapToGrid w:val="0"/>
          <w:szCs w:val="24"/>
          <w:lang w:val="en-US" w:eastAsia="en-US"/>
        </w:rPr>
        <w:t xml:space="preserve">Design solution incorporating a base isolation (BI) system </w:t>
      </w:r>
      <w:r w:rsidRPr="000846FD">
        <w:rPr>
          <w:rFonts w:eastAsia="Times New Roman"/>
          <w:b/>
          <w:caps/>
          <w:snapToGrid w:val="0"/>
          <w:szCs w:val="24"/>
          <w:lang w:val="en-US" w:eastAsia="en-US"/>
        </w:rPr>
        <w:t xml:space="preserve">equipped with double curved surface sliding bearings  </w:t>
      </w:r>
    </w:p>
    <w:p w:rsidR="000846FD" w:rsidRPr="000846FD" w:rsidRDefault="000846FD" w:rsidP="000846FD">
      <w:pPr>
        <w:widowControl w:val="0"/>
        <w:tabs>
          <w:tab w:val="left" w:pos="0"/>
        </w:tabs>
        <w:suppressAutoHyphens/>
        <w:spacing w:after="0" w:line="240" w:lineRule="auto"/>
        <w:jc w:val="both"/>
        <w:rPr>
          <w:rFonts w:eastAsia="Times New Roman"/>
          <w:snapToGrid w:val="0"/>
          <w:szCs w:val="24"/>
          <w:lang w:val="en-US" w:eastAsia="en-US"/>
        </w:rPr>
      </w:pPr>
    </w:p>
    <w:p w:rsidR="000846FD" w:rsidRPr="000846FD" w:rsidRDefault="000846FD" w:rsidP="000846FD">
      <w:pPr>
        <w:keepNext/>
        <w:widowControl w:val="0"/>
        <w:tabs>
          <w:tab w:val="left" w:pos="-1440"/>
          <w:tab w:val="center" w:pos="4680"/>
        </w:tabs>
        <w:suppressAutoHyphens/>
        <w:spacing w:after="0" w:line="240" w:lineRule="auto"/>
        <w:jc w:val="both"/>
        <w:outlineLvl w:val="1"/>
        <w:rPr>
          <w:rFonts w:eastAsia="Times New Roman"/>
          <w:b/>
          <w:bCs/>
          <w:i/>
          <w:snapToGrid w:val="0"/>
          <w:szCs w:val="24"/>
          <w:lang w:val="en-GB" w:eastAsia="en-US"/>
        </w:rPr>
      </w:pPr>
      <w:r w:rsidRPr="000846FD">
        <w:rPr>
          <w:rFonts w:eastAsia="Times New Roman"/>
          <w:b/>
          <w:i/>
          <w:snapToGrid w:val="0"/>
          <w:szCs w:val="24"/>
          <w:lang w:val="en-US" w:eastAsia="en-US"/>
        </w:rPr>
        <w:t xml:space="preserve">6.1 </w:t>
      </w:r>
      <w:r w:rsidRPr="000846FD">
        <w:rPr>
          <w:rFonts w:eastAsia="Times New Roman"/>
          <w:b/>
          <w:bCs/>
          <w:i/>
          <w:snapToGrid w:val="0"/>
          <w:szCs w:val="24"/>
          <w:lang w:val="en-GB" w:eastAsia="en-US"/>
        </w:rPr>
        <w:t>Characteristics and Design of the BI System</w:t>
      </w:r>
    </w:p>
    <w:p w:rsidR="000846FD" w:rsidRPr="000846FD" w:rsidRDefault="000846FD" w:rsidP="000846FD">
      <w:pPr>
        <w:widowControl w:val="0"/>
        <w:spacing w:after="0" w:line="240" w:lineRule="auto"/>
        <w:jc w:val="both"/>
        <w:rPr>
          <w:rFonts w:eastAsia="Times New Roman"/>
          <w:snapToGrid w:val="0"/>
          <w:szCs w:val="24"/>
          <w:lang w:val="en-US"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r w:rsidRPr="000846FD">
        <w:rPr>
          <w:rFonts w:eastAsia="Times New Roman"/>
          <w:bCs/>
          <w:snapToGrid w:val="0"/>
          <w:szCs w:val="24"/>
          <w:lang w:val="en-GB" w:eastAsia="en-US"/>
        </w:rPr>
        <w:t xml:space="preserve">The proposed system includes double curved sliding surface (DCSS) bearings as isolation devices, which are extensively adopted in new designs, as well as in the retrofit of existing buildings, in Italy and several other countries. As shown by the schematic cross section in Figure 9, they consist of two facing spherical concave surfaces, separated by an articulated double friction slider, which produce two independent pendulum response mechanisms. The DCSS devices in standard production are characterized by identical properties of the two surfaces, and namely: radium </w:t>
      </w:r>
      <w:r w:rsidRPr="000846FD">
        <w:rPr>
          <w:rFonts w:eastAsia="Times New Roman"/>
          <w:bCs/>
          <w:i/>
          <w:snapToGrid w:val="0"/>
          <w:szCs w:val="24"/>
          <w:lang w:val="en-GB" w:eastAsia="en-US"/>
        </w:rPr>
        <w:t>R</w:t>
      </w:r>
      <w:r w:rsidRPr="000846FD">
        <w:rPr>
          <w:rFonts w:eastAsia="Times New Roman"/>
          <w:bCs/>
          <w:snapToGrid w:val="0"/>
          <w:szCs w:val="24"/>
          <w:lang w:val="en-GB" w:eastAsia="en-US"/>
        </w:rPr>
        <w:t xml:space="preserve">; slider center-to-surface distance </w:t>
      </w:r>
      <w:r w:rsidRPr="000846FD">
        <w:rPr>
          <w:rFonts w:eastAsia="Times New Roman"/>
          <w:bCs/>
          <w:i/>
          <w:snapToGrid w:val="0"/>
          <w:szCs w:val="24"/>
          <w:lang w:val="en-GB" w:eastAsia="en-US"/>
        </w:rPr>
        <w:t xml:space="preserve">h </w:t>
      </w:r>
      <w:r w:rsidRPr="000846FD">
        <w:rPr>
          <w:rFonts w:eastAsia="Times New Roman"/>
          <w:bCs/>
          <w:snapToGrid w:val="0"/>
          <w:szCs w:val="24"/>
          <w:lang w:val="en-GB" w:eastAsia="en-US"/>
        </w:rPr>
        <w:t>(i.e.</w:t>
      </w:r>
      <w:r w:rsidRPr="000846FD">
        <w:rPr>
          <w:rFonts w:eastAsia="Times New Roman"/>
          <w:bCs/>
          <w:i/>
          <w:snapToGrid w:val="0"/>
          <w:szCs w:val="24"/>
          <w:lang w:val="en-GB" w:eastAsia="en-US"/>
        </w:rPr>
        <w:t xml:space="preserve"> </w:t>
      </w:r>
      <w:r w:rsidRPr="000846FD">
        <w:rPr>
          <w:rFonts w:eastAsia="Times New Roman"/>
          <w:bCs/>
          <w:snapToGrid w:val="0"/>
          <w:szCs w:val="24"/>
          <w:lang w:val="en-GB" w:eastAsia="en-US"/>
        </w:rPr>
        <w:t xml:space="preserve">the distance between the “pivot point” P of the articulated slider and the face of each spherical surface); effective pendulum length </w:t>
      </w:r>
      <w:r w:rsidRPr="000846FD">
        <w:rPr>
          <w:rFonts w:eastAsia="Times New Roman"/>
          <w:bCs/>
          <w:i/>
          <w:snapToGrid w:val="0"/>
          <w:szCs w:val="24"/>
          <w:lang w:val="en-GB" w:eastAsia="en-US"/>
        </w:rPr>
        <w:t>R</w:t>
      </w:r>
      <w:r w:rsidRPr="000846FD">
        <w:rPr>
          <w:rFonts w:eastAsia="Times New Roman"/>
          <w:bCs/>
          <w:snapToGrid w:val="0"/>
          <w:szCs w:val="24"/>
          <w:lang w:val="en-GB" w:eastAsia="en-US"/>
        </w:rPr>
        <w:t>-</w:t>
      </w:r>
      <w:r w:rsidRPr="000846FD">
        <w:rPr>
          <w:rFonts w:eastAsia="Times New Roman"/>
          <w:bCs/>
          <w:i/>
          <w:snapToGrid w:val="0"/>
          <w:szCs w:val="24"/>
          <w:lang w:val="en-GB" w:eastAsia="en-US"/>
        </w:rPr>
        <w:t xml:space="preserve">h </w:t>
      </w:r>
      <w:r w:rsidRPr="000846FD">
        <w:rPr>
          <w:rFonts w:eastAsia="Times New Roman"/>
          <w:bCs/>
          <w:snapToGrid w:val="0"/>
          <w:szCs w:val="24"/>
          <w:lang w:val="en-GB" w:eastAsia="en-US"/>
        </w:rPr>
        <w:t>(i.e.</w:t>
      </w:r>
      <w:r w:rsidRPr="000846FD">
        <w:rPr>
          <w:rFonts w:eastAsia="Times New Roman"/>
          <w:bCs/>
          <w:i/>
          <w:snapToGrid w:val="0"/>
          <w:szCs w:val="24"/>
          <w:lang w:val="en-GB" w:eastAsia="en-US"/>
        </w:rPr>
        <w:t xml:space="preserve"> </w:t>
      </w:r>
      <w:r w:rsidRPr="000846FD">
        <w:rPr>
          <w:rFonts w:eastAsia="Times New Roman"/>
          <w:bCs/>
          <w:snapToGrid w:val="0"/>
          <w:szCs w:val="24"/>
          <w:lang w:val="en-GB" w:eastAsia="en-US"/>
        </w:rPr>
        <w:t xml:space="preserve">the distance between P and the center C of each surface); diameter of the horizontal projection of the spherical surface </w:t>
      </w:r>
      <w:r w:rsidRPr="000846FD">
        <w:rPr>
          <w:rFonts w:eastAsia="Times New Roman"/>
          <w:bCs/>
          <w:i/>
          <w:snapToGrid w:val="0"/>
          <w:szCs w:val="24"/>
          <w:lang w:val="en-GB" w:eastAsia="en-US"/>
        </w:rPr>
        <w:t>D</w:t>
      </w:r>
      <w:r w:rsidRPr="000846FD">
        <w:rPr>
          <w:rFonts w:eastAsia="Times New Roman"/>
          <w:bCs/>
          <w:snapToGrid w:val="0"/>
          <w:szCs w:val="24"/>
          <w:lang w:val="en-GB" w:eastAsia="en-US"/>
        </w:rPr>
        <w:t>; and friction coefficient μ. The resulting effective pendulum length</w:t>
      </w:r>
      <w:r w:rsidRPr="000846FD">
        <w:rPr>
          <w:rFonts w:eastAsia="Times New Roman"/>
          <w:bCs/>
          <w:i/>
          <w:snapToGrid w:val="0"/>
          <w:szCs w:val="24"/>
          <w:lang w:val="en-GB" w:eastAsia="en-US"/>
        </w:rPr>
        <w:t xml:space="preserve"> L</w:t>
      </w:r>
      <w:r w:rsidRPr="000846FD">
        <w:rPr>
          <w:rFonts w:eastAsia="Times New Roman"/>
          <w:bCs/>
          <w:i/>
          <w:snapToGrid w:val="0"/>
          <w:szCs w:val="24"/>
          <w:vertAlign w:val="subscript"/>
          <w:lang w:val="en-GB" w:eastAsia="en-US"/>
        </w:rPr>
        <w:t>DCSS</w:t>
      </w:r>
      <w:r w:rsidRPr="000846FD">
        <w:rPr>
          <w:rFonts w:eastAsia="Times New Roman"/>
          <w:bCs/>
          <w:i/>
          <w:snapToGrid w:val="0"/>
          <w:szCs w:val="24"/>
          <w:lang w:val="en-GB" w:eastAsia="en-US"/>
        </w:rPr>
        <w:t xml:space="preserve"> </w:t>
      </w:r>
      <w:r w:rsidRPr="000846FD">
        <w:rPr>
          <w:rFonts w:eastAsia="Times New Roman"/>
          <w:bCs/>
          <w:snapToGrid w:val="0"/>
          <w:szCs w:val="24"/>
          <w:lang w:val="en-GB" w:eastAsia="en-US"/>
        </w:rPr>
        <w:t xml:space="preserve">of the isolator is equal to twice the effective pendulum length of each surface, i.e. </w:t>
      </w:r>
      <w:r w:rsidRPr="000846FD">
        <w:rPr>
          <w:rFonts w:eastAsia="Times New Roman"/>
          <w:bCs/>
          <w:i/>
          <w:snapToGrid w:val="0"/>
          <w:szCs w:val="24"/>
          <w:lang w:val="en-GB" w:eastAsia="en-US"/>
        </w:rPr>
        <w:t>L</w:t>
      </w:r>
      <w:r w:rsidRPr="000846FD">
        <w:rPr>
          <w:rFonts w:eastAsia="Times New Roman"/>
          <w:bCs/>
          <w:i/>
          <w:snapToGrid w:val="0"/>
          <w:szCs w:val="24"/>
          <w:vertAlign w:val="subscript"/>
          <w:lang w:val="en-GB" w:eastAsia="en-US"/>
        </w:rPr>
        <w:t>DCSS</w:t>
      </w:r>
      <w:r w:rsidRPr="000846FD">
        <w:rPr>
          <w:rFonts w:eastAsia="Times New Roman"/>
          <w:bCs/>
          <w:snapToGrid w:val="0"/>
          <w:szCs w:val="24"/>
          <w:lang w:val="en-GB" w:eastAsia="en-US"/>
        </w:rPr>
        <w:t xml:space="preserve"> =2·(</w:t>
      </w:r>
      <w:r w:rsidRPr="000846FD">
        <w:rPr>
          <w:rFonts w:eastAsia="Times New Roman"/>
          <w:bCs/>
          <w:i/>
          <w:snapToGrid w:val="0"/>
          <w:szCs w:val="24"/>
          <w:lang w:val="en-GB" w:eastAsia="en-US"/>
        </w:rPr>
        <w:t>R</w:t>
      </w:r>
      <w:r w:rsidRPr="000846FD">
        <w:rPr>
          <w:rFonts w:eastAsia="Times New Roman"/>
          <w:bCs/>
          <w:snapToGrid w:val="0"/>
          <w:szCs w:val="24"/>
          <w:lang w:val="en-GB" w:eastAsia="en-US"/>
        </w:rPr>
        <w:t>-</w:t>
      </w:r>
      <w:r w:rsidRPr="000846FD">
        <w:rPr>
          <w:rFonts w:eastAsia="Times New Roman"/>
          <w:bCs/>
          <w:i/>
          <w:snapToGrid w:val="0"/>
          <w:szCs w:val="24"/>
          <w:lang w:val="en-GB" w:eastAsia="en-US"/>
        </w:rPr>
        <w:t>h</w:t>
      </w:r>
      <w:r w:rsidRPr="000846FD">
        <w:rPr>
          <w:rFonts w:eastAsia="Times New Roman"/>
          <w:bCs/>
          <w:snapToGrid w:val="0"/>
          <w:szCs w:val="24"/>
          <w:lang w:val="en-GB" w:eastAsia="en-US"/>
        </w:rPr>
        <w:t>)=2</w:t>
      </w:r>
      <w:r w:rsidRPr="000846FD">
        <w:rPr>
          <w:rFonts w:eastAsia="Times New Roman"/>
          <w:bCs/>
          <w:i/>
          <w:snapToGrid w:val="0"/>
          <w:szCs w:val="24"/>
          <w:lang w:val="en-GB" w:eastAsia="en-US"/>
        </w:rPr>
        <w:t>R</w:t>
      </w:r>
      <w:r w:rsidRPr="000846FD">
        <w:rPr>
          <w:rFonts w:eastAsia="Times New Roman"/>
          <w:bCs/>
          <w:snapToGrid w:val="0"/>
          <w:szCs w:val="24"/>
          <w:lang w:val="en-GB" w:eastAsia="en-US"/>
        </w:rPr>
        <w:t>-2</w:t>
      </w:r>
      <w:r w:rsidRPr="000846FD">
        <w:rPr>
          <w:rFonts w:eastAsia="Times New Roman"/>
          <w:bCs/>
          <w:i/>
          <w:snapToGrid w:val="0"/>
          <w:szCs w:val="24"/>
          <w:lang w:val="en-GB" w:eastAsia="en-US"/>
        </w:rPr>
        <w:t>h</w:t>
      </w:r>
      <w:r w:rsidRPr="000846FD">
        <w:rPr>
          <w:rFonts w:eastAsia="Times New Roman"/>
          <w:bCs/>
          <w:snapToGrid w:val="0"/>
          <w:szCs w:val="24"/>
          <w:lang w:val="en-GB" w:eastAsia="en-US"/>
        </w:rPr>
        <w:t>.</w:t>
      </w: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r w:rsidRPr="000846FD">
        <w:rPr>
          <w:rFonts w:eastAsia="Times New Roman"/>
          <w:bCs/>
          <w:noProof/>
          <w:snapToGrid w:val="0"/>
          <w:szCs w:val="24"/>
        </w:rPr>
        <w:drawing>
          <wp:anchor distT="0" distB="0" distL="114300" distR="114300" simplePos="0" relativeHeight="251665408" behindDoc="0" locked="0" layoutInCell="1" allowOverlap="1" wp14:anchorId="561D7A13" wp14:editId="43E11D18">
            <wp:simplePos x="0" y="0"/>
            <wp:positionH relativeFrom="column">
              <wp:posOffset>69850</wp:posOffset>
            </wp:positionH>
            <wp:positionV relativeFrom="paragraph">
              <wp:posOffset>-1905</wp:posOffset>
            </wp:positionV>
            <wp:extent cx="6040120" cy="2231390"/>
            <wp:effectExtent l="19050" t="0" r="0"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l="6066" t="31836" r="4389" b="44755"/>
                    <a:stretch>
                      <a:fillRect/>
                    </a:stretch>
                  </pic:blipFill>
                  <pic:spPr bwMode="auto">
                    <a:xfrm>
                      <a:off x="0" y="0"/>
                      <a:ext cx="6040120" cy="2231390"/>
                    </a:xfrm>
                    <a:prstGeom prst="rect">
                      <a:avLst/>
                    </a:prstGeom>
                    <a:noFill/>
                    <a:ln w="9525">
                      <a:noFill/>
                      <a:miter lim="800000"/>
                      <a:headEnd/>
                      <a:tailEnd/>
                    </a:ln>
                  </pic:spPr>
                </pic:pic>
              </a:graphicData>
            </a:graphic>
          </wp:anchor>
        </w:drawing>
      </w: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spacing w:after="0" w:line="240" w:lineRule="auto"/>
        <w:jc w:val="center"/>
        <w:rPr>
          <w:rFonts w:eastAsia="Times New Roman"/>
          <w:snapToGrid w:val="0"/>
          <w:sz w:val="20"/>
          <w:szCs w:val="24"/>
          <w:lang w:val="en-GB" w:eastAsia="it-IT"/>
        </w:rPr>
      </w:pPr>
      <w:r w:rsidRPr="000846FD">
        <w:rPr>
          <w:rFonts w:eastAsia="Times New Roman"/>
          <w:snapToGrid w:val="0"/>
          <w:sz w:val="20"/>
          <w:szCs w:val="24"/>
          <w:lang w:val="en-GB" w:eastAsia="it-IT"/>
        </w:rPr>
        <w:t>Figure 9. BI-based design. Position of the isolators in plan and elevation, and schematic cross section of a DCSS device</w:t>
      </w:r>
    </w:p>
    <w:p w:rsidR="000846FD" w:rsidRPr="000846FD" w:rsidRDefault="000846FD" w:rsidP="000846FD">
      <w:pPr>
        <w:spacing w:after="160" w:line="259" w:lineRule="auto"/>
        <w:rPr>
          <w:rFonts w:eastAsia="Times New Roman"/>
          <w:bCs/>
          <w:snapToGrid w:val="0"/>
          <w:szCs w:val="24"/>
          <w:lang w:val="en-GB" w:eastAsia="en-US"/>
        </w:rPr>
      </w:pPr>
      <w:r w:rsidRPr="000846FD">
        <w:rPr>
          <w:rFonts w:eastAsia="Times New Roman"/>
          <w:bCs/>
          <w:snapToGrid w:val="0"/>
          <w:szCs w:val="24"/>
          <w:lang w:val="en-GB" w:eastAsia="en-US"/>
        </w:rPr>
        <w:br w:type="page"/>
      </w: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r w:rsidRPr="000846FD">
        <w:rPr>
          <w:rFonts w:eastAsia="Times New Roman"/>
          <w:bCs/>
          <w:snapToGrid w:val="0"/>
          <w:szCs w:val="24"/>
          <w:lang w:val="en-GB" w:eastAsia="en-US"/>
        </w:rPr>
        <w:t xml:space="preserve">The equivalent vibration period of a DCSS, </w:t>
      </w:r>
      <w:r w:rsidRPr="000846FD">
        <w:rPr>
          <w:rFonts w:eastAsia="Times New Roman"/>
          <w:bCs/>
          <w:i/>
          <w:snapToGrid w:val="0"/>
          <w:szCs w:val="24"/>
          <w:lang w:val="en-GB" w:eastAsia="en-US"/>
        </w:rPr>
        <w:t>T</w:t>
      </w:r>
      <w:r w:rsidRPr="000846FD">
        <w:rPr>
          <w:rFonts w:eastAsia="Times New Roman"/>
          <w:bCs/>
          <w:i/>
          <w:snapToGrid w:val="0"/>
          <w:szCs w:val="24"/>
          <w:vertAlign w:val="subscript"/>
          <w:lang w:val="en-GB" w:eastAsia="en-US"/>
        </w:rPr>
        <w:t>e</w:t>
      </w:r>
      <w:r w:rsidRPr="000846FD">
        <w:rPr>
          <w:rFonts w:eastAsia="Times New Roman"/>
          <w:bCs/>
          <w:snapToGrid w:val="0"/>
          <w:szCs w:val="24"/>
          <w:lang w:val="en-GB" w:eastAsia="en-US"/>
        </w:rPr>
        <w:t xml:space="preserve">, and the equivalent viscous damping ratio, </w:t>
      </w:r>
      <w:r w:rsidRPr="000846FD">
        <w:rPr>
          <w:rFonts w:eastAsia="Times New Roman"/>
          <w:bCs/>
          <w:snapToGrid w:val="0"/>
          <w:szCs w:val="24"/>
          <w:lang w:val="en-GB" w:eastAsia="en-US"/>
        </w:rPr>
        <w:sym w:font="Symbol" w:char="F078"/>
      </w:r>
      <w:r w:rsidRPr="000846FD">
        <w:rPr>
          <w:rFonts w:eastAsia="Times New Roman"/>
          <w:bCs/>
          <w:i/>
          <w:snapToGrid w:val="0"/>
          <w:szCs w:val="24"/>
          <w:vertAlign w:val="subscript"/>
          <w:lang w:val="en-GB" w:eastAsia="en-US"/>
        </w:rPr>
        <w:t>e</w:t>
      </w:r>
      <w:r w:rsidRPr="000846FD">
        <w:rPr>
          <w:rFonts w:eastAsia="Times New Roman"/>
          <w:bCs/>
          <w:snapToGrid w:val="0"/>
          <w:szCs w:val="24"/>
          <w:lang w:val="en-GB" w:eastAsia="en-US"/>
        </w:rPr>
        <w:t>, are expressed as:</w:t>
      </w: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AB14C3" w:rsidP="000846FD">
      <w:pPr>
        <w:widowControl w:val="0"/>
        <w:tabs>
          <w:tab w:val="left" w:pos="0"/>
          <w:tab w:val="left" w:pos="9356"/>
        </w:tabs>
        <w:suppressAutoHyphens/>
        <w:spacing w:after="0" w:line="240" w:lineRule="auto"/>
        <w:jc w:val="both"/>
        <w:rPr>
          <w:rFonts w:eastAsia="Times New Roman"/>
          <w:bCs/>
          <w:snapToGrid w:val="0"/>
          <w:szCs w:val="24"/>
          <w:lang w:val="en-GB" w:eastAsia="en-US"/>
        </w:rPr>
      </w:pPr>
      <m:oMath>
        <m:sSub>
          <m:sSubPr>
            <m:ctrlPr>
              <w:rPr>
                <w:rFonts w:ascii="Cambria Math" w:eastAsia="Times New Roman" w:hAnsi="Cambria Math"/>
                <w:bCs/>
                <w:i/>
                <w:snapToGrid w:val="0"/>
                <w:szCs w:val="24"/>
                <w:lang w:val="en-GB" w:eastAsia="en-US"/>
              </w:rPr>
            </m:ctrlPr>
          </m:sSubPr>
          <m:e>
            <m:r>
              <w:rPr>
                <w:rFonts w:ascii="Cambria Math" w:eastAsia="Times New Roman" w:hAnsi="Cambria Math"/>
                <w:snapToGrid w:val="0"/>
                <w:szCs w:val="24"/>
                <w:lang w:val="en-GB" w:eastAsia="en-US"/>
              </w:rPr>
              <m:t>T</m:t>
            </m:r>
          </m:e>
          <m:sub>
            <m:r>
              <w:rPr>
                <w:rFonts w:ascii="Cambria Math" w:eastAsia="Times New Roman" w:hAnsi="Cambria Math"/>
                <w:snapToGrid w:val="0"/>
                <w:szCs w:val="24"/>
                <w:lang w:val="en-GB" w:eastAsia="en-US"/>
              </w:rPr>
              <m:t>e</m:t>
            </m:r>
          </m:sub>
        </m:sSub>
        <m:d>
          <m:dPr>
            <m:ctrlPr>
              <w:rPr>
                <w:rFonts w:ascii="Cambria Math" w:eastAsia="Times New Roman" w:hAnsi="Cambria Math"/>
                <w:bCs/>
                <w:i/>
                <w:snapToGrid w:val="0"/>
                <w:szCs w:val="24"/>
                <w:lang w:val="en-GB" w:eastAsia="en-US"/>
              </w:rPr>
            </m:ctrlPr>
          </m:dPr>
          <m:e>
            <m:r>
              <w:rPr>
                <w:rFonts w:ascii="Cambria Math" w:eastAsia="Times New Roman" w:hAnsi="Cambria Math"/>
                <w:snapToGrid w:val="0"/>
                <w:szCs w:val="24"/>
                <w:lang w:val="en-GB" w:eastAsia="en-US"/>
              </w:rPr>
              <m:t>t</m:t>
            </m:r>
          </m:e>
        </m:d>
        <m:r>
          <w:rPr>
            <w:rFonts w:ascii="Cambria Math" w:eastAsia="Times New Roman" w:hAnsi="Cambria Math"/>
            <w:snapToGrid w:val="0"/>
            <w:szCs w:val="24"/>
            <w:lang w:val="en-GB" w:eastAsia="en-US"/>
          </w:rPr>
          <m:t>=</m:t>
        </m:r>
        <m:r>
          <m:rPr>
            <m:sty m:val="p"/>
          </m:rPr>
          <w:rPr>
            <w:rFonts w:ascii="Cambria Math" w:eastAsia="Times New Roman" w:hAnsi="Cambria Math"/>
            <w:snapToGrid w:val="0"/>
            <w:szCs w:val="24"/>
            <w:lang w:val="en-GB" w:eastAsia="en-US"/>
          </w:rPr>
          <m:t>2π</m:t>
        </m:r>
        <m:rad>
          <m:radPr>
            <m:degHide m:val="1"/>
            <m:ctrlPr>
              <w:rPr>
                <w:rFonts w:ascii="Cambria Math" w:eastAsia="Times New Roman" w:hAnsi="Cambria Math"/>
                <w:bCs/>
                <w:i/>
                <w:snapToGrid w:val="0"/>
                <w:szCs w:val="24"/>
                <w:lang w:val="en-GB" w:eastAsia="en-US"/>
              </w:rPr>
            </m:ctrlPr>
          </m:radPr>
          <m:deg/>
          <m:e>
            <m:f>
              <m:fPr>
                <m:ctrlPr>
                  <w:rPr>
                    <w:rFonts w:ascii="Cambria Math" w:eastAsia="Times New Roman" w:hAnsi="Cambria Math"/>
                    <w:bCs/>
                    <w:i/>
                    <w:snapToGrid w:val="0"/>
                    <w:szCs w:val="24"/>
                    <w:lang w:val="en-GB" w:eastAsia="en-US"/>
                  </w:rPr>
                </m:ctrlPr>
              </m:fPr>
              <m:num>
                <m:r>
                  <w:rPr>
                    <w:rFonts w:ascii="Cambria Math" w:eastAsia="Times New Roman" w:hAnsi="Cambria Math"/>
                    <w:snapToGrid w:val="0"/>
                    <w:szCs w:val="24"/>
                    <w:lang w:val="en-GB" w:eastAsia="en-US"/>
                  </w:rPr>
                  <m:t>1</m:t>
                </m:r>
              </m:num>
              <m:den>
                <m:r>
                  <w:rPr>
                    <w:rFonts w:ascii="Cambria Math" w:eastAsia="Times New Roman" w:hAnsi="Cambria Math"/>
                    <w:snapToGrid w:val="0"/>
                    <w:szCs w:val="24"/>
                    <w:lang w:val="en-GB" w:eastAsia="en-US"/>
                  </w:rPr>
                  <m:t>g</m:t>
                </m:r>
                <m:d>
                  <m:dPr>
                    <m:ctrlPr>
                      <w:rPr>
                        <w:rFonts w:ascii="Cambria Math" w:eastAsia="Times New Roman" w:hAnsi="Cambria Math"/>
                        <w:bCs/>
                        <w:i/>
                        <w:snapToGrid w:val="0"/>
                        <w:szCs w:val="24"/>
                        <w:lang w:val="en-GB" w:eastAsia="en-US"/>
                      </w:rPr>
                    </m:ctrlPr>
                  </m:dPr>
                  <m:e>
                    <m:f>
                      <m:fPr>
                        <m:ctrlPr>
                          <w:rPr>
                            <w:rFonts w:ascii="Cambria Math" w:eastAsia="Times New Roman" w:hAnsi="Cambria Math"/>
                            <w:bCs/>
                            <w:i/>
                            <w:snapToGrid w:val="0"/>
                            <w:szCs w:val="24"/>
                            <w:lang w:val="en-GB" w:eastAsia="en-US"/>
                          </w:rPr>
                        </m:ctrlPr>
                      </m:fPr>
                      <m:num>
                        <m:r>
                          <w:rPr>
                            <w:rFonts w:ascii="Cambria Math" w:eastAsia="Times New Roman" w:hAnsi="Cambria Math"/>
                            <w:snapToGrid w:val="0"/>
                            <w:szCs w:val="24"/>
                            <w:lang w:val="en-GB" w:eastAsia="en-US"/>
                          </w:rPr>
                          <m:t>1</m:t>
                        </m:r>
                      </m:num>
                      <m:den>
                        <m:sSub>
                          <m:sSubPr>
                            <m:ctrlPr>
                              <w:rPr>
                                <w:rFonts w:ascii="Cambria Math" w:eastAsia="Times New Roman" w:hAnsi="Cambria Math"/>
                                <w:bCs/>
                                <w:i/>
                                <w:snapToGrid w:val="0"/>
                                <w:szCs w:val="24"/>
                                <w:lang w:val="en-GB" w:eastAsia="en-US"/>
                              </w:rPr>
                            </m:ctrlPr>
                          </m:sSubPr>
                          <m:e>
                            <m:r>
                              <w:rPr>
                                <w:rFonts w:ascii="Cambria Math" w:eastAsia="Times New Roman" w:hAnsi="Cambria Math"/>
                                <w:snapToGrid w:val="0"/>
                                <w:szCs w:val="24"/>
                                <w:lang w:val="en-GB" w:eastAsia="en-US"/>
                              </w:rPr>
                              <m:t>L</m:t>
                            </m:r>
                          </m:e>
                          <m:sub>
                            <m:r>
                              <w:rPr>
                                <w:rFonts w:ascii="Cambria Math" w:eastAsia="Times New Roman" w:hAnsi="Cambria Math"/>
                                <w:snapToGrid w:val="0"/>
                                <w:szCs w:val="24"/>
                                <w:lang w:val="en-GB" w:eastAsia="en-US"/>
                              </w:rPr>
                              <m:t>DCSS</m:t>
                            </m:r>
                          </m:sub>
                        </m:sSub>
                      </m:den>
                    </m:f>
                    <m:r>
                      <w:rPr>
                        <w:rFonts w:ascii="Cambria Math" w:eastAsia="Times New Roman" w:hAnsi="Cambria Math"/>
                        <w:snapToGrid w:val="0"/>
                        <w:szCs w:val="24"/>
                        <w:lang w:val="en-GB" w:eastAsia="en-US"/>
                      </w:rPr>
                      <m:t>+</m:t>
                    </m:r>
                    <m:f>
                      <m:fPr>
                        <m:ctrlPr>
                          <w:rPr>
                            <w:rFonts w:ascii="Cambria Math" w:eastAsia="Times New Roman" w:hAnsi="Cambria Math"/>
                            <w:bCs/>
                            <w:i/>
                            <w:snapToGrid w:val="0"/>
                            <w:szCs w:val="24"/>
                            <w:lang w:val="en-GB" w:eastAsia="en-US"/>
                          </w:rPr>
                        </m:ctrlPr>
                      </m:fPr>
                      <m:num>
                        <m:r>
                          <w:rPr>
                            <w:rFonts w:ascii="Cambria Math" w:eastAsia="Times New Roman" w:hAnsi="Cambria Math"/>
                            <w:snapToGrid w:val="0"/>
                            <w:szCs w:val="24"/>
                            <w:lang w:val="en-GB" w:eastAsia="en-US"/>
                          </w:rPr>
                          <m:t>μ</m:t>
                        </m:r>
                      </m:num>
                      <m:den>
                        <m:sSub>
                          <m:sSubPr>
                            <m:ctrlPr>
                              <w:rPr>
                                <w:rFonts w:ascii="Cambria Math" w:eastAsia="Times New Roman" w:hAnsi="Cambria Math"/>
                                <w:bCs/>
                                <w:i/>
                                <w:snapToGrid w:val="0"/>
                                <w:szCs w:val="24"/>
                                <w:lang w:val="en-GB" w:eastAsia="en-US"/>
                              </w:rPr>
                            </m:ctrlPr>
                          </m:sSubPr>
                          <m:e>
                            <m:r>
                              <w:rPr>
                                <w:rFonts w:ascii="Cambria Math" w:eastAsia="Times New Roman" w:hAnsi="Cambria Math"/>
                                <w:snapToGrid w:val="0"/>
                                <w:szCs w:val="24"/>
                                <w:lang w:val="en-GB" w:eastAsia="en-US"/>
                              </w:rPr>
                              <m:t>d</m:t>
                            </m:r>
                          </m:e>
                          <m:sub>
                            <m:r>
                              <w:rPr>
                                <w:rFonts w:ascii="Cambria Math" w:eastAsia="Times New Roman" w:hAnsi="Cambria Math"/>
                                <w:snapToGrid w:val="0"/>
                                <w:szCs w:val="24"/>
                                <w:lang w:val="en-GB" w:eastAsia="en-US"/>
                              </w:rPr>
                              <m:t>max</m:t>
                            </m:r>
                          </m:sub>
                        </m:sSub>
                      </m:den>
                    </m:f>
                  </m:e>
                </m:d>
              </m:den>
            </m:f>
          </m:e>
        </m:rad>
      </m:oMath>
      <w:r w:rsidR="000846FD" w:rsidRPr="000846FD">
        <w:rPr>
          <w:rFonts w:eastAsia="Times New Roman"/>
          <w:bCs/>
          <w:snapToGrid w:val="0"/>
          <w:szCs w:val="24"/>
          <w:lang w:val="en-GB" w:eastAsia="en-US"/>
        </w:rPr>
        <w:tab/>
        <w:t>(3)</w:t>
      </w:r>
    </w:p>
    <w:p w:rsidR="000846FD" w:rsidRPr="000846FD" w:rsidRDefault="000846FD" w:rsidP="000846FD">
      <w:pPr>
        <w:widowControl w:val="0"/>
        <w:tabs>
          <w:tab w:val="left" w:pos="0"/>
          <w:tab w:val="left" w:pos="9356"/>
        </w:tabs>
        <w:suppressAutoHyphens/>
        <w:spacing w:after="0" w:line="240" w:lineRule="auto"/>
        <w:jc w:val="both"/>
        <w:rPr>
          <w:rFonts w:eastAsia="Times New Roman"/>
          <w:bCs/>
          <w:snapToGrid w:val="0"/>
          <w:szCs w:val="24"/>
          <w:lang w:val="en-GB" w:eastAsia="en-US"/>
        </w:rPr>
      </w:pPr>
    </w:p>
    <w:p w:rsidR="000846FD" w:rsidRPr="000846FD" w:rsidRDefault="00AB14C3" w:rsidP="000846FD">
      <w:pPr>
        <w:widowControl w:val="0"/>
        <w:tabs>
          <w:tab w:val="left" w:pos="0"/>
          <w:tab w:val="left" w:pos="9356"/>
        </w:tabs>
        <w:suppressAutoHyphens/>
        <w:spacing w:after="0" w:line="240" w:lineRule="auto"/>
        <w:jc w:val="both"/>
        <w:rPr>
          <w:rFonts w:eastAsia="Times New Roman"/>
          <w:bCs/>
          <w:snapToGrid w:val="0"/>
          <w:szCs w:val="24"/>
          <w:lang w:val="en-GB" w:eastAsia="en-US"/>
        </w:rPr>
      </w:pPr>
      <m:oMath>
        <m:sSub>
          <m:sSubPr>
            <m:ctrlPr>
              <w:rPr>
                <w:rFonts w:ascii="Cambria Math" w:eastAsia="Times New Roman" w:hAnsi="Cambria Math"/>
                <w:bCs/>
                <w:i/>
                <w:snapToGrid w:val="0"/>
                <w:szCs w:val="24"/>
                <w:lang w:val="en-GB" w:eastAsia="en-US"/>
              </w:rPr>
            </m:ctrlPr>
          </m:sSubPr>
          <m:e>
            <m:r>
              <m:rPr>
                <m:sty m:val="p"/>
              </m:rPr>
              <w:rPr>
                <w:rFonts w:ascii="Cambria Math" w:eastAsia="Times New Roman" w:hAnsi="Cambria Math"/>
                <w:bCs/>
                <w:snapToGrid w:val="0"/>
                <w:szCs w:val="24"/>
                <w:lang w:val="en-GB" w:eastAsia="en-US"/>
              </w:rPr>
              <w:sym w:font="Symbol" w:char="F078"/>
            </m:r>
          </m:e>
          <m:sub>
            <m:r>
              <w:rPr>
                <w:rFonts w:ascii="Cambria Math" w:eastAsia="Times New Roman" w:hAnsi="Cambria Math"/>
                <w:snapToGrid w:val="0"/>
                <w:szCs w:val="24"/>
                <w:lang w:val="en-GB" w:eastAsia="en-US"/>
              </w:rPr>
              <m:t>e</m:t>
            </m:r>
          </m:sub>
        </m:sSub>
        <m:r>
          <w:rPr>
            <w:rFonts w:ascii="Cambria Math" w:eastAsia="Times New Roman" w:hAnsi="Cambria Math"/>
            <w:snapToGrid w:val="0"/>
            <w:szCs w:val="24"/>
            <w:lang w:val="en-GB" w:eastAsia="en-US"/>
          </w:rPr>
          <m:t>=</m:t>
        </m:r>
        <m:f>
          <m:fPr>
            <m:ctrlPr>
              <w:rPr>
                <w:rFonts w:ascii="Cambria Math" w:eastAsia="Times New Roman" w:hAnsi="Cambria Math"/>
                <w:bCs/>
                <w:i/>
                <w:snapToGrid w:val="0"/>
                <w:szCs w:val="24"/>
                <w:lang w:val="en-GB" w:eastAsia="en-US"/>
              </w:rPr>
            </m:ctrlPr>
          </m:fPr>
          <m:num>
            <m:r>
              <m:rPr>
                <m:sty m:val="p"/>
              </m:rPr>
              <w:rPr>
                <w:rFonts w:ascii="Cambria Math" w:eastAsia="Times New Roman" w:hAnsi="Cambria Math"/>
                <w:snapToGrid w:val="0"/>
                <w:szCs w:val="24"/>
                <w:lang w:val="en-GB" w:eastAsia="en-US"/>
              </w:rPr>
              <m:t>2</m:t>
            </m:r>
          </m:num>
          <m:den>
            <m:r>
              <m:rPr>
                <m:sty m:val="p"/>
              </m:rPr>
              <w:rPr>
                <w:rFonts w:ascii="Cambria Math" w:eastAsia="Times New Roman" w:hAnsi="Cambria Math"/>
                <w:snapToGrid w:val="0"/>
                <w:szCs w:val="24"/>
                <w:lang w:val="en-GB" w:eastAsia="en-US"/>
              </w:rPr>
              <m:t>π</m:t>
            </m:r>
          </m:den>
        </m:f>
        <m:r>
          <w:rPr>
            <w:rFonts w:ascii="Cambria Math" w:eastAsia="Times New Roman" w:hAnsi="Cambria Math"/>
            <w:snapToGrid w:val="0"/>
            <w:szCs w:val="24"/>
            <w:lang w:val="en-GB" w:eastAsia="en-US"/>
          </w:rPr>
          <m:t>∙</m:t>
        </m:r>
        <m:f>
          <m:fPr>
            <m:ctrlPr>
              <w:rPr>
                <w:rFonts w:ascii="Cambria Math" w:eastAsia="Times New Roman" w:hAnsi="Cambria Math"/>
                <w:bCs/>
                <w:i/>
                <w:snapToGrid w:val="0"/>
                <w:szCs w:val="24"/>
                <w:lang w:val="en-GB" w:eastAsia="en-US"/>
              </w:rPr>
            </m:ctrlPr>
          </m:fPr>
          <m:num>
            <m:r>
              <w:rPr>
                <w:rFonts w:ascii="Cambria Math" w:eastAsia="Times New Roman" w:hAnsi="Cambria Math"/>
                <w:snapToGrid w:val="0"/>
                <w:szCs w:val="24"/>
                <w:lang w:val="en-GB" w:eastAsia="en-US"/>
              </w:rPr>
              <m:t>1</m:t>
            </m:r>
          </m:num>
          <m:den>
            <m:f>
              <m:fPr>
                <m:ctrlPr>
                  <w:rPr>
                    <w:rFonts w:ascii="Cambria Math" w:eastAsia="Times New Roman" w:hAnsi="Cambria Math"/>
                    <w:bCs/>
                    <w:i/>
                    <w:snapToGrid w:val="0"/>
                    <w:szCs w:val="24"/>
                    <w:lang w:val="en-GB" w:eastAsia="en-US"/>
                  </w:rPr>
                </m:ctrlPr>
              </m:fPr>
              <m:num>
                <m:sSub>
                  <m:sSubPr>
                    <m:ctrlPr>
                      <w:rPr>
                        <w:rFonts w:ascii="Cambria Math" w:eastAsia="Times New Roman" w:hAnsi="Cambria Math"/>
                        <w:bCs/>
                        <w:i/>
                        <w:snapToGrid w:val="0"/>
                        <w:szCs w:val="24"/>
                        <w:lang w:val="en-GB" w:eastAsia="en-US"/>
                      </w:rPr>
                    </m:ctrlPr>
                  </m:sSubPr>
                  <m:e>
                    <m:r>
                      <w:rPr>
                        <w:rFonts w:ascii="Cambria Math" w:eastAsia="Times New Roman" w:hAnsi="Cambria Math"/>
                        <w:snapToGrid w:val="0"/>
                        <w:szCs w:val="24"/>
                        <w:lang w:val="en-GB" w:eastAsia="en-US"/>
                      </w:rPr>
                      <m:t>d</m:t>
                    </m:r>
                  </m:e>
                  <m:sub>
                    <m:r>
                      <w:rPr>
                        <w:rFonts w:ascii="Cambria Math" w:eastAsia="Times New Roman" w:hAnsi="Cambria Math"/>
                        <w:snapToGrid w:val="0"/>
                        <w:szCs w:val="24"/>
                        <w:lang w:val="en-GB" w:eastAsia="en-US"/>
                      </w:rPr>
                      <m:t>max</m:t>
                    </m:r>
                  </m:sub>
                </m:sSub>
              </m:num>
              <m:den>
                <m:r>
                  <m:rPr>
                    <m:sty m:val="p"/>
                  </m:rPr>
                  <w:rPr>
                    <w:rFonts w:ascii="Cambria Math" w:eastAsia="Times New Roman" w:hAnsi="Cambria Math"/>
                    <w:bCs/>
                    <w:snapToGrid w:val="0"/>
                    <w:szCs w:val="24"/>
                    <w:lang w:val="en-GB" w:eastAsia="en-US"/>
                  </w:rPr>
                  <w:sym w:font="Symbol" w:char="F06D"/>
                </m:r>
                <m:sSub>
                  <m:sSubPr>
                    <m:ctrlPr>
                      <w:rPr>
                        <w:rFonts w:ascii="Cambria Math" w:eastAsia="Times New Roman" w:hAnsi="Cambria Math"/>
                        <w:bCs/>
                        <w:i/>
                        <w:snapToGrid w:val="0"/>
                        <w:szCs w:val="24"/>
                        <w:lang w:val="en-GB" w:eastAsia="en-US"/>
                      </w:rPr>
                    </m:ctrlPr>
                  </m:sSubPr>
                  <m:e>
                    <m:r>
                      <w:rPr>
                        <w:rFonts w:ascii="Cambria Math" w:eastAsia="Times New Roman" w:hAnsi="Cambria Math"/>
                        <w:snapToGrid w:val="0"/>
                        <w:szCs w:val="24"/>
                        <w:lang w:val="en-GB" w:eastAsia="en-US"/>
                      </w:rPr>
                      <m:t>L</m:t>
                    </m:r>
                  </m:e>
                  <m:sub>
                    <m:r>
                      <w:rPr>
                        <w:rFonts w:ascii="Cambria Math" w:eastAsia="Times New Roman" w:hAnsi="Cambria Math"/>
                        <w:snapToGrid w:val="0"/>
                        <w:szCs w:val="24"/>
                        <w:lang w:val="en-GB" w:eastAsia="en-US"/>
                      </w:rPr>
                      <m:t>DCSS</m:t>
                    </m:r>
                  </m:sub>
                </m:sSub>
              </m:den>
            </m:f>
            <m:r>
              <w:rPr>
                <w:rFonts w:ascii="Cambria Math" w:eastAsia="Times New Roman" w:hAnsi="Cambria Math"/>
                <w:snapToGrid w:val="0"/>
                <w:szCs w:val="24"/>
                <w:lang w:val="en-GB" w:eastAsia="en-US"/>
              </w:rPr>
              <m:t>+1</m:t>
            </m:r>
          </m:den>
        </m:f>
      </m:oMath>
      <w:r w:rsidR="000846FD" w:rsidRPr="000846FD">
        <w:rPr>
          <w:rFonts w:eastAsia="Times New Roman"/>
          <w:bCs/>
          <w:snapToGrid w:val="0"/>
          <w:szCs w:val="24"/>
          <w:lang w:val="en-GB" w:eastAsia="en-US"/>
        </w:rPr>
        <w:tab/>
        <w:t>(4)</w:t>
      </w:r>
    </w:p>
    <w:p w:rsidR="000846FD" w:rsidRPr="000846FD" w:rsidRDefault="000846FD" w:rsidP="000846FD">
      <w:pPr>
        <w:widowControl w:val="0"/>
        <w:tabs>
          <w:tab w:val="left" w:pos="0"/>
          <w:tab w:val="left" w:pos="9356"/>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r w:rsidRPr="000846FD">
        <w:rPr>
          <w:rFonts w:eastAsia="Times New Roman"/>
          <w:bCs/>
          <w:snapToGrid w:val="0"/>
          <w:szCs w:val="24"/>
          <w:lang w:val="en-GB" w:eastAsia="en-US"/>
        </w:rPr>
        <w:t xml:space="preserve">where </w:t>
      </w:r>
      <w:r w:rsidRPr="000846FD">
        <w:rPr>
          <w:rFonts w:eastAsia="Times New Roman"/>
          <w:bCs/>
          <w:i/>
          <w:snapToGrid w:val="0"/>
          <w:szCs w:val="24"/>
          <w:lang w:val="en-GB" w:eastAsia="en-US"/>
        </w:rPr>
        <w:t>g</w:t>
      </w:r>
      <w:r w:rsidRPr="000846FD">
        <w:rPr>
          <w:rFonts w:eastAsia="Times New Roman"/>
          <w:bCs/>
          <w:snapToGrid w:val="0"/>
          <w:szCs w:val="24"/>
          <w:lang w:val="en-GB" w:eastAsia="en-US"/>
        </w:rPr>
        <w:t xml:space="preserve">=acceleration of gravity, and </w:t>
      </w:r>
      <w:r w:rsidRPr="000846FD">
        <w:rPr>
          <w:rFonts w:eastAsia="Times New Roman"/>
          <w:bCs/>
          <w:i/>
          <w:snapToGrid w:val="0"/>
          <w:szCs w:val="24"/>
          <w:lang w:val="en-GB" w:eastAsia="en-US"/>
        </w:rPr>
        <w:t>d</w:t>
      </w:r>
      <w:r w:rsidRPr="000846FD">
        <w:rPr>
          <w:rFonts w:eastAsia="Times New Roman"/>
          <w:bCs/>
          <w:i/>
          <w:snapToGrid w:val="0"/>
          <w:szCs w:val="24"/>
          <w:vertAlign w:val="subscript"/>
          <w:lang w:val="en-GB" w:eastAsia="en-US"/>
        </w:rPr>
        <w:t>max</w:t>
      </w:r>
      <w:r w:rsidRPr="000846FD">
        <w:rPr>
          <w:rFonts w:eastAsia="Times New Roman"/>
          <w:bCs/>
          <w:snapToGrid w:val="0"/>
          <w:szCs w:val="24"/>
          <w:lang w:val="en-GB" w:eastAsia="en-US"/>
        </w:rPr>
        <w:t xml:space="preserve">=maximum displacement of the device along all directions in plan. </w:t>
      </w: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r w:rsidRPr="000846FD">
        <w:rPr>
          <w:rFonts w:eastAsia="Times New Roman"/>
          <w:bCs/>
          <w:snapToGrid w:val="0"/>
          <w:szCs w:val="24"/>
          <w:lang w:val="en-GB" w:eastAsia="en-US"/>
        </w:rPr>
        <w:t xml:space="preserve">Based on a preliminary sizing carried out by computing the maximum axial force that each column transmits to the isolator placed below its base, and estimating the maximum displacement demand for the MCE seismic level, two types of DCSS devices were selected, named Type-1 (highlighted with blue symbols) and Type-2 (red symbols) in the plan and section of Figure 9. The mechanical and geometrical properties of the isolators, as derived from the reference manufacturer’s catalogue, are as follows: </w:t>
      </w:r>
      <w:r w:rsidRPr="000846FD">
        <w:rPr>
          <w:rFonts w:eastAsia="Times New Roman"/>
          <w:bCs/>
          <w:i/>
          <w:snapToGrid w:val="0"/>
          <w:szCs w:val="24"/>
          <w:lang w:val="en-GB" w:eastAsia="en-US"/>
        </w:rPr>
        <w:t>L</w:t>
      </w:r>
      <w:r w:rsidRPr="000846FD">
        <w:rPr>
          <w:rFonts w:eastAsia="Times New Roman"/>
          <w:bCs/>
          <w:i/>
          <w:snapToGrid w:val="0"/>
          <w:szCs w:val="24"/>
          <w:vertAlign w:val="subscript"/>
          <w:lang w:val="en-GB" w:eastAsia="en-US"/>
        </w:rPr>
        <w:t>DCSS</w:t>
      </w:r>
      <w:r w:rsidRPr="000846FD">
        <w:rPr>
          <w:rFonts w:eastAsia="Times New Roman"/>
          <w:bCs/>
          <w:snapToGrid w:val="0"/>
          <w:szCs w:val="24"/>
          <w:lang w:val="en-GB" w:eastAsia="en-US"/>
        </w:rPr>
        <w:t xml:space="preserve">=3100 mm, </w:t>
      </w:r>
      <w:r w:rsidRPr="000846FD">
        <w:rPr>
          <w:rFonts w:eastAsia="Times New Roman"/>
          <w:bCs/>
          <w:i/>
          <w:snapToGrid w:val="0"/>
          <w:szCs w:val="24"/>
          <w:lang w:val="en-GB" w:eastAsia="en-US"/>
        </w:rPr>
        <w:t>d</w:t>
      </w:r>
      <w:r w:rsidRPr="000846FD">
        <w:rPr>
          <w:rFonts w:eastAsia="Times New Roman"/>
          <w:bCs/>
          <w:i/>
          <w:snapToGrid w:val="0"/>
          <w:szCs w:val="24"/>
          <w:vertAlign w:val="subscript"/>
          <w:lang w:val="en-GB" w:eastAsia="en-US"/>
        </w:rPr>
        <w:t>max</w:t>
      </w:r>
      <w:r w:rsidRPr="000846FD">
        <w:rPr>
          <w:rFonts w:eastAsia="Times New Roman"/>
          <w:bCs/>
          <w:snapToGrid w:val="0"/>
          <w:szCs w:val="24"/>
          <w:lang w:val="en-GB" w:eastAsia="en-US"/>
        </w:rPr>
        <w:t xml:space="preserve">=±250 mm, μ=0.025, </w:t>
      </w:r>
      <w:r w:rsidRPr="000846FD">
        <w:rPr>
          <w:rFonts w:eastAsia="Times New Roman"/>
          <w:bCs/>
          <w:i/>
          <w:snapToGrid w:val="0"/>
          <w:szCs w:val="24"/>
          <w:lang w:val="en-GB" w:eastAsia="en-US"/>
        </w:rPr>
        <w:t>T</w:t>
      </w:r>
      <w:r w:rsidRPr="000846FD">
        <w:rPr>
          <w:rFonts w:eastAsia="Times New Roman"/>
          <w:bCs/>
          <w:i/>
          <w:snapToGrid w:val="0"/>
          <w:szCs w:val="24"/>
          <w:vertAlign w:val="subscript"/>
          <w:lang w:val="en-GB" w:eastAsia="en-US"/>
        </w:rPr>
        <w:t>e</w:t>
      </w:r>
      <w:r w:rsidRPr="000846FD">
        <w:rPr>
          <w:rFonts w:eastAsia="Times New Roman"/>
          <w:bCs/>
          <w:snapToGrid w:val="0"/>
          <w:szCs w:val="24"/>
          <w:lang w:val="en-GB" w:eastAsia="en-US"/>
        </w:rPr>
        <w:t xml:space="preserve">=3.1 s, </w:t>
      </w:r>
      <w:r w:rsidRPr="000846FD">
        <w:rPr>
          <w:rFonts w:eastAsia="Times New Roman"/>
          <w:bCs/>
          <w:snapToGrid w:val="0"/>
          <w:szCs w:val="24"/>
          <w:lang w:val="en-GB" w:eastAsia="en-US"/>
        </w:rPr>
        <w:sym w:font="Symbol" w:char="F078"/>
      </w:r>
      <w:r w:rsidRPr="000846FD">
        <w:rPr>
          <w:rFonts w:eastAsia="Times New Roman"/>
          <w:bCs/>
          <w:i/>
          <w:snapToGrid w:val="0"/>
          <w:szCs w:val="24"/>
          <w:vertAlign w:val="subscript"/>
          <w:lang w:val="en-GB" w:eastAsia="en-US"/>
        </w:rPr>
        <w:t>e</w:t>
      </w:r>
      <w:r w:rsidRPr="000846FD">
        <w:rPr>
          <w:rFonts w:eastAsia="Times New Roman"/>
          <w:bCs/>
          <w:snapToGrid w:val="0"/>
          <w:szCs w:val="24"/>
          <w:lang w:val="en-GB" w:eastAsia="en-US"/>
        </w:rPr>
        <w:t xml:space="preserve">=15.2%, for both types; </w:t>
      </w:r>
      <w:r w:rsidRPr="000846FD">
        <w:rPr>
          <w:rFonts w:eastAsia="Times New Roman"/>
          <w:bCs/>
          <w:i/>
          <w:snapToGrid w:val="0"/>
          <w:szCs w:val="24"/>
          <w:lang w:val="en-GB" w:eastAsia="en-US"/>
        </w:rPr>
        <w:t>N</w:t>
      </w:r>
      <w:r w:rsidRPr="000846FD">
        <w:rPr>
          <w:rFonts w:eastAsia="Times New Roman"/>
          <w:bCs/>
          <w:i/>
          <w:snapToGrid w:val="0"/>
          <w:szCs w:val="24"/>
          <w:vertAlign w:val="subscript"/>
          <w:lang w:val="en-GB" w:eastAsia="en-US"/>
        </w:rPr>
        <w:t>Rd</w:t>
      </w:r>
      <w:r w:rsidRPr="000846FD">
        <w:rPr>
          <w:rFonts w:eastAsia="Times New Roman"/>
          <w:bCs/>
          <w:snapToGrid w:val="0"/>
          <w:szCs w:val="24"/>
          <w:lang w:val="en-GB" w:eastAsia="en-US"/>
        </w:rPr>
        <w:t xml:space="preserve">=maximum allowable vertical force=1500 kN, </w:t>
      </w:r>
      <w:r w:rsidRPr="000846FD">
        <w:rPr>
          <w:rFonts w:eastAsia="Times New Roman"/>
          <w:bCs/>
          <w:i/>
          <w:snapToGrid w:val="0"/>
          <w:szCs w:val="24"/>
          <w:lang w:val="en-GB" w:eastAsia="en-US"/>
        </w:rPr>
        <w:t>D</w:t>
      </w:r>
      <w:r w:rsidRPr="000846FD">
        <w:rPr>
          <w:rFonts w:eastAsia="Times New Roman"/>
          <w:bCs/>
          <w:snapToGrid w:val="0"/>
          <w:szCs w:val="24"/>
          <w:lang w:val="en-GB" w:eastAsia="en-US"/>
        </w:rPr>
        <w:t xml:space="preserve">=540 mm, </w:t>
      </w:r>
      <w:r w:rsidRPr="000846FD">
        <w:rPr>
          <w:rFonts w:eastAsia="Times New Roman"/>
          <w:bCs/>
          <w:i/>
          <w:snapToGrid w:val="0"/>
          <w:szCs w:val="24"/>
          <w:lang w:val="en-GB" w:eastAsia="en-US"/>
        </w:rPr>
        <w:t>H</w:t>
      </w:r>
      <w:r w:rsidRPr="000846FD">
        <w:rPr>
          <w:rFonts w:eastAsia="Times New Roman"/>
          <w:bCs/>
          <w:snapToGrid w:val="0"/>
          <w:szCs w:val="24"/>
          <w:lang w:val="en-GB" w:eastAsia="en-US"/>
        </w:rPr>
        <w:t xml:space="preserve">=106 mm — Type-1; </w:t>
      </w:r>
      <w:r w:rsidRPr="000846FD">
        <w:rPr>
          <w:rFonts w:eastAsia="Times New Roman"/>
          <w:bCs/>
          <w:i/>
          <w:snapToGrid w:val="0"/>
          <w:szCs w:val="24"/>
          <w:lang w:val="en-GB" w:eastAsia="en-US"/>
        </w:rPr>
        <w:t>N</w:t>
      </w:r>
      <w:r w:rsidRPr="000846FD">
        <w:rPr>
          <w:rFonts w:eastAsia="Times New Roman"/>
          <w:bCs/>
          <w:i/>
          <w:snapToGrid w:val="0"/>
          <w:szCs w:val="24"/>
          <w:vertAlign w:val="subscript"/>
          <w:lang w:val="en-GB" w:eastAsia="en-US"/>
        </w:rPr>
        <w:t>Rd</w:t>
      </w:r>
      <w:r w:rsidRPr="000846FD">
        <w:rPr>
          <w:rFonts w:eastAsia="Times New Roman"/>
          <w:bCs/>
          <w:snapToGrid w:val="0"/>
          <w:szCs w:val="24"/>
          <w:lang w:val="en-GB" w:eastAsia="en-US"/>
        </w:rPr>
        <w:t xml:space="preserve">= 2000 kN, </w:t>
      </w:r>
      <w:r w:rsidRPr="000846FD">
        <w:rPr>
          <w:rFonts w:eastAsia="Times New Roman"/>
          <w:bCs/>
          <w:i/>
          <w:snapToGrid w:val="0"/>
          <w:szCs w:val="24"/>
          <w:lang w:val="en-GB" w:eastAsia="en-US"/>
        </w:rPr>
        <w:t>D</w:t>
      </w:r>
      <w:r w:rsidRPr="000846FD">
        <w:rPr>
          <w:rFonts w:eastAsia="Times New Roman"/>
          <w:bCs/>
          <w:snapToGrid w:val="0"/>
          <w:szCs w:val="24"/>
          <w:lang w:val="en-GB" w:eastAsia="en-US"/>
        </w:rPr>
        <w:t xml:space="preserve">=570 mm, </w:t>
      </w:r>
      <w:r w:rsidRPr="000846FD">
        <w:rPr>
          <w:rFonts w:eastAsia="Times New Roman"/>
          <w:bCs/>
          <w:i/>
          <w:snapToGrid w:val="0"/>
          <w:szCs w:val="24"/>
          <w:lang w:val="en-GB" w:eastAsia="en-US"/>
        </w:rPr>
        <w:t>H</w:t>
      </w:r>
      <w:r w:rsidRPr="000846FD">
        <w:rPr>
          <w:rFonts w:eastAsia="Times New Roman"/>
          <w:bCs/>
          <w:snapToGrid w:val="0"/>
          <w:szCs w:val="24"/>
          <w:lang w:val="en-GB" w:eastAsia="en-US"/>
        </w:rPr>
        <w:t xml:space="preserve">=height=111 mm — Type-2. </w:t>
      </w: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r w:rsidRPr="000846FD">
        <w:rPr>
          <w:rFonts w:eastAsia="Times New Roman"/>
          <w:bCs/>
          <w:snapToGrid w:val="0"/>
          <w:szCs w:val="24"/>
          <w:lang w:val="en-GB" w:eastAsia="en-US"/>
        </w:rPr>
        <w:t xml:space="preserve">As illustrated by the plan in Figure 9 and the detail drawing in Figure 10, a R/C floor is built for this design solution at the ground level, to constitute a horizontal rigid diaphragm for the isolation system. The structure of the floor is made of “Predalles” type joists, with interposed lightening polystyrene blocks and a </w:t>
      </w:r>
      <w:r w:rsidRPr="000846FD">
        <w:rPr>
          <w:rFonts w:eastAsia="Times New Roman"/>
          <w:bCs/>
          <w:iCs/>
          <w:snapToGrid w:val="0"/>
          <w:szCs w:val="24"/>
          <w:lang w:val="en-GB" w:eastAsia="en-US"/>
        </w:rPr>
        <w:t>50 mm thick on-site</w:t>
      </w:r>
      <w:r w:rsidRPr="000846FD">
        <w:rPr>
          <w:rFonts w:eastAsia="Times New Roman"/>
          <w:bCs/>
          <w:snapToGrid w:val="0"/>
          <w:szCs w:val="24"/>
          <w:lang w:val="en-GB" w:eastAsia="en-US"/>
        </w:rPr>
        <w:t xml:space="preserve"> </w:t>
      </w:r>
      <w:r w:rsidRPr="000846FD">
        <w:rPr>
          <w:rFonts w:eastAsia="Times New Roman"/>
          <w:bCs/>
          <w:iCs/>
          <w:snapToGrid w:val="0"/>
          <w:szCs w:val="24"/>
          <w:lang w:val="en-GB" w:eastAsia="en-US"/>
        </w:rPr>
        <w:t xml:space="preserve">cast upper R/C slab. </w:t>
      </w:r>
      <w:r w:rsidRPr="000846FD">
        <w:rPr>
          <w:rFonts w:eastAsia="Times New Roman"/>
          <w:bCs/>
          <w:snapToGrid w:val="0"/>
          <w:szCs w:val="24"/>
          <w:lang w:val="en-GB" w:eastAsia="en-US"/>
        </w:rPr>
        <w:t xml:space="preserve">The span of the structure is subdivided in three equal portions by building two internal plinths per column alignment, over which a set of 14 Type-2 isolators is placed. Other 14 isolators are installed below the column bases (10 Type-1 </w:t>
      </w:r>
      <w:r w:rsidRPr="000846FD">
        <w:rPr>
          <w:rFonts w:eastAsia="Times New Roman"/>
          <w:bCs/>
          <w:snapToGrid w:val="0"/>
          <w:szCs w:val="24"/>
          <w:lang w:val="en-GB" w:eastAsia="en-US"/>
        </w:rPr>
        <w:sym w:font="Symbol" w:char="F0BE"/>
      </w:r>
      <w:r w:rsidRPr="000846FD">
        <w:rPr>
          <w:rFonts w:eastAsia="Times New Roman"/>
          <w:bCs/>
          <w:snapToGrid w:val="0"/>
          <w:szCs w:val="24"/>
          <w:lang w:val="en-GB" w:eastAsia="en-US"/>
        </w:rPr>
        <w:t xml:space="preserve"> perimeter columns, plus 4 Type-2 </w:t>
      </w:r>
      <w:r w:rsidRPr="000846FD">
        <w:rPr>
          <w:rFonts w:eastAsia="Times New Roman"/>
          <w:bCs/>
          <w:snapToGrid w:val="0"/>
          <w:szCs w:val="24"/>
          <w:lang w:val="en-GB" w:eastAsia="en-US"/>
        </w:rPr>
        <w:sym w:font="Symbol" w:char="F0BE"/>
      </w:r>
      <w:r w:rsidRPr="000846FD">
        <w:rPr>
          <w:rFonts w:eastAsia="Times New Roman"/>
          <w:bCs/>
          <w:snapToGrid w:val="0"/>
          <w:szCs w:val="24"/>
          <w:lang w:val="en-GB" w:eastAsia="en-US"/>
        </w:rPr>
        <w:t xml:space="preserve"> corner columns). In addition to constructing the floor, a perimeter retaining R/C wall is built around the structure, in order to accommodate the horizontal displacements of the base isolated structure, as well as to help easy inspection and maintenance of the fourteen devices situated at the feet of the columns, and the four ones placed below the floor along the two façade alignments. The ten internal isolators are accessed by six trapdoors inserted in the ground floor, each one giving access to two devices.</w:t>
      </w: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US"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r w:rsidRPr="000846FD">
        <w:rPr>
          <w:rFonts w:eastAsia="Times New Roman"/>
          <w:bCs/>
          <w:noProof/>
          <w:snapToGrid w:val="0"/>
          <w:szCs w:val="24"/>
        </w:rPr>
        <w:drawing>
          <wp:anchor distT="0" distB="0" distL="114300" distR="114300" simplePos="0" relativeHeight="251666432" behindDoc="0" locked="0" layoutInCell="1" allowOverlap="1" wp14:anchorId="2E25F4AA" wp14:editId="0127FA86">
            <wp:simplePos x="0" y="0"/>
            <wp:positionH relativeFrom="column">
              <wp:posOffset>1007110</wp:posOffset>
            </wp:positionH>
            <wp:positionV relativeFrom="paragraph">
              <wp:posOffset>60960</wp:posOffset>
            </wp:positionV>
            <wp:extent cx="3867150" cy="1962150"/>
            <wp:effectExtent l="19050" t="0" r="0" b="0"/>
            <wp:wrapNone/>
            <wp:docPr id="14"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l="17116" t="33949" r="19710" b="43393"/>
                    <a:stretch>
                      <a:fillRect/>
                    </a:stretch>
                  </pic:blipFill>
                  <pic:spPr bwMode="auto">
                    <a:xfrm>
                      <a:off x="0" y="0"/>
                      <a:ext cx="3867150" cy="1962150"/>
                    </a:xfrm>
                    <a:prstGeom prst="rect">
                      <a:avLst/>
                    </a:prstGeom>
                    <a:noFill/>
                    <a:ln w="9525">
                      <a:noFill/>
                      <a:miter lim="800000"/>
                      <a:headEnd/>
                      <a:tailEnd/>
                    </a:ln>
                  </pic:spPr>
                </pic:pic>
              </a:graphicData>
            </a:graphic>
          </wp:anchor>
        </w:drawing>
      </w: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US"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US" w:eastAsia="en-US"/>
        </w:rPr>
      </w:pPr>
    </w:p>
    <w:p w:rsidR="000846FD" w:rsidRPr="000846FD" w:rsidRDefault="000846FD" w:rsidP="000846FD">
      <w:pPr>
        <w:widowControl w:val="0"/>
        <w:spacing w:after="0" w:line="240" w:lineRule="auto"/>
        <w:jc w:val="center"/>
        <w:rPr>
          <w:rFonts w:eastAsia="Times New Roman"/>
          <w:snapToGrid w:val="0"/>
          <w:sz w:val="20"/>
          <w:szCs w:val="20"/>
          <w:lang w:val="en-GB" w:eastAsia="it-IT"/>
        </w:rPr>
      </w:pPr>
      <w:r w:rsidRPr="000846FD">
        <w:rPr>
          <w:rFonts w:eastAsia="Times New Roman"/>
          <w:snapToGrid w:val="0"/>
          <w:sz w:val="20"/>
          <w:szCs w:val="20"/>
          <w:lang w:val="en-GB" w:eastAsia="it-IT"/>
        </w:rPr>
        <w:t xml:space="preserve">  Figure 10. BI-based design. </w:t>
      </w:r>
      <w:r w:rsidRPr="000846FD">
        <w:rPr>
          <w:rFonts w:eastAsia="Calibri"/>
          <w:snapToGrid w:val="0"/>
          <w:sz w:val="20"/>
          <w:szCs w:val="20"/>
          <w:lang w:val="en-GB" w:eastAsia="it-IT"/>
        </w:rPr>
        <w:t>Installation details of the isolators and the ground floor</w:t>
      </w: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r w:rsidRPr="000846FD">
        <w:rPr>
          <w:rFonts w:eastAsia="Times New Roman"/>
          <w:bCs/>
          <w:snapToGrid w:val="0"/>
          <w:szCs w:val="24"/>
          <w:lang w:val="en-GB" w:eastAsia="en-US"/>
        </w:rPr>
        <w:t xml:space="preserve">For the time-history verification analyses, the finite element model of the DCSS isolators was generated by the “Friction Isolator” link element available in the library of SAP2000NL code, i.e. a biaxial friction-pendulum element with coupled friction properties for the deformations along the two local axes in plan. </w:t>
      </w: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keepNext/>
        <w:widowControl w:val="0"/>
        <w:tabs>
          <w:tab w:val="left" w:pos="-1440"/>
          <w:tab w:val="center" w:pos="4680"/>
        </w:tabs>
        <w:suppressAutoHyphens/>
        <w:spacing w:after="0" w:line="240" w:lineRule="auto"/>
        <w:jc w:val="both"/>
        <w:outlineLvl w:val="1"/>
        <w:rPr>
          <w:rFonts w:eastAsia="Times New Roman"/>
          <w:b/>
          <w:bCs/>
          <w:i/>
          <w:snapToGrid w:val="0"/>
          <w:szCs w:val="24"/>
          <w:lang w:val="en-GB" w:eastAsia="en-US"/>
        </w:rPr>
      </w:pPr>
      <w:r w:rsidRPr="000846FD">
        <w:rPr>
          <w:rFonts w:eastAsia="Times New Roman"/>
          <w:b/>
          <w:i/>
          <w:snapToGrid w:val="0"/>
          <w:szCs w:val="24"/>
          <w:lang w:val="en-US" w:eastAsia="en-US"/>
        </w:rPr>
        <w:t xml:space="preserve">6.2 </w:t>
      </w:r>
      <w:r w:rsidRPr="000846FD">
        <w:rPr>
          <w:rFonts w:eastAsia="Times New Roman"/>
          <w:b/>
          <w:bCs/>
          <w:i/>
          <w:snapToGrid w:val="0"/>
          <w:szCs w:val="24"/>
          <w:lang w:val="en-GB" w:eastAsia="en-US"/>
        </w:rPr>
        <w:t xml:space="preserve">Final Sizing of Structural Members – Modal Analysis  </w:t>
      </w:r>
    </w:p>
    <w:p w:rsidR="000846FD" w:rsidRPr="000846FD" w:rsidRDefault="000846FD" w:rsidP="000846FD">
      <w:pPr>
        <w:widowControl w:val="0"/>
        <w:spacing w:after="0" w:line="240" w:lineRule="auto"/>
        <w:jc w:val="both"/>
        <w:rPr>
          <w:rFonts w:eastAsia="Times New Roman"/>
          <w:snapToGrid w:val="0"/>
          <w:szCs w:val="24"/>
          <w:lang w:val="en-US"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US" w:eastAsia="en-US"/>
        </w:rPr>
      </w:pPr>
      <w:r w:rsidRPr="000846FD">
        <w:rPr>
          <w:rFonts w:eastAsia="Times New Roman"/>
          <w:bCs/>
          <w:snapToGrid w:val="0"/>
          <w:szCs w:val="24"/>
          <w:lang w:val="en-US" w:eastAsia="en-US"/>
        </w:rPr>
        <w:t xml:space="preserve">The final sizing of columns and plinths in the presence of the BI system is illustrated in Figure 11. </w:t>
      </w:r>
    </w:p>
    <w:p w:rsidR="000846FD" w:rsidRPr="000846FD" w:rsidRDefault="000846FD" w:rsidP="000846FD">
      <w:pPr>
        <w:spacing w:after="160" w:line="259" w:lineRule="auto"/>
        <w:rPr>
          <w:rFonts w:eastAsia="Times New Roman"/>
          <w:bCs/>
          <w:snapToGrid w:val="0"/>
          <w:szCs w:val="24"/>
          <w:lang w:val="en-US" w:eastAsia="en-US"/>
        </w:rPr>
      </w:pPr>
      <w:r w:rsidRPr="000846FD">
        <w:rPr>
          <w:rFonts w:eastAsia="Times New Roman"/>
          <w:bCs/>
          <w:snapToGrid w:val="0"/>
          <w:szCs w:val="24"/>
          <w:lang w:val="en-US" w:eastAsia="en-US"/>
        </w:rPr>
        <w:br w:type="page"/>
      </w: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US" w:eastAsia="en-US"/>
        </w:rPr>
      </w:pPr>
      <w:r w:rsidRPr="000846FD">
        <w:rPr>
          <w:rFonts w:eastAsia="Times New Roman"/>
          <w:bCs/>
          <w:noProof/>
          <w:snapToGrid w:val="0"/>
          <w:szCs w:val="24"/>
        </w:rPr>
        <w:drawing>
          <wp:anchor distT="0" distB="0" distL="114300" distR="114300" simplePos="0" relativeHeight="251667456" behindDoc="0" locked="0" layoutInCell="1" allowOverlap="1" wp14:anchorId="75C29535" wp14:editId="44E30ABD">
            <wp:simplePos x="0" y="0"/>
            <wp:positionH relativeFrom="column">
              <wp:posOffset>1210310</wp:posOffset>
            </wp:positionH>
            <wp:positionV relativeFrom="paragraph">
              <wp:posOffset>101600</wp:posOffset>
            </wp:positionV>
            <wp:extent cx="3816350" cy="1365250"/>
            <wp:effectExtent l="19050" t="0" r="0" b="0"/>
            <wp:wrapNone/>
            <wp:docPr id="15"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l="19710" t="38197" r="16909" b="45748"/>
                    <a:stretch>
                      <a:fillRect/>
                    </a:stretch>
                  </pic:blipFill>
                  <pic:spPr bwMode="auto">
                    <a:xfrm>
                      <a:off x="0" y="0"/>
                      <a:ext cx="3816350" cy="1365250"/>
                    </a:xfrm>
                    <a:prstGeom prst="rect">
                      <a:avLst/>
                    </a:prstGeom>
                    <a:noFill/>
                    <a:ln w="9525">
                      <a:noFill/>
                      <a:miter lim="800000"/>
                      <a:headEnd/>
                      <a:tailEnd/>
                    </a:ln>
                  </pic:spPr>
                </pic:pic>
              </a:graphicData>
            </a:graphic>
          </wp:anchor>
        </w:drawing>
      </w: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US"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US"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US"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US"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US"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US"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US"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US" w:eastAsia="en-US"/>
        </w:rPr>
      </w:pPr>
      <w:r w:rsidRPr="000846FD">
        <w:rPr>
          <w:rFonts w:eastAsia="Times New Roman"/>
          <w:bCs/>
          <w:snapToGrid w:val="0"/>
          <w:szCs w:val="24"/>
          <w:lang w:val="en-US" w:eastAsia="en-US"/>
        </w:rPr>
        <w:t xml:space="preserve"> </w:t>
      </w: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US" w:eastAsia="en-US"/>
        </w:rPr>
      </w:pPr>
    </w:p>
    <w:p w:rsidR="000846FD" w:rsidRPr="000846FD" w:rsidRDefault="000846FD" w:rsidP="000846FD">
      <w:pPr>
        <w:widowControl w:val="0"/>
        <w:spacing w:after="0" w:line="240" w:lineRule="auto"/>
        <w:jc w:val="center"/>
        <w:rPr>
          <w:rFonts w:eastAsia="Times New Roman"/>
          <w:snapToGrid w:val="0"/>
          <w:sz w:val="20"/>
          <w:szCs w:val="24"/>
          <w:lang w:val="en-GB" w:eastAsia="it-IT"/>
        </w:rPr>
      </w:pPr>
      <w:r w:rsidRPr="000846FD">
        <w:rPr>
          <w:rFonts w:eastAsia="Times New Roman"/>
          <w:snapToGrid w:val="0"/>
          <w:sz w:val="20"/>
          <w:szCs w:val="24"/>
          <w:lang w:val="en-GB" w:eastAsia="it-IT"/>
        </w:rPr>
        <w:t>Figure 11. BI-based design. Cross sections of a column and a foundation plinth (dimensions in millimeters)</w:t>
      </w: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r w:rsidRPr="000846FD">
        <w:rPr>
          <w:rFonts w:eastAsia="Times New Roman"/>
          <w:bCs/>
          <w:snapToGrid w:val="0"/>
          <w:szCs w:val="24"/>
          <w:lang w:val="en-US" w:eastAsia="en-US"/>
        </w:rPr>
        <w:t xml:space="preserve">As shown there, columns have the same cross section dimensions as in the DB design </w:t>
      </w:r>
      <w:r w:rsidRPr="000846FD">
        <w:rPr>
          <w:rFonts w:eastAsia="Times New Roman"/>
          <w:bCs/>
          <w:snapToGrid w:val="0"/>
          <w:szCs w:val="24"/>
          <w:lang w:val="en-US" w:eastAsia="en-US"/>
        </w:rPr>
        <w:sym w:font="Symbol" w:char="F0BE"/>
      </w:r>
      <w:r w:rsidRPr="000846FD">
        <w:rPr>
          <w:rFonts w:eastAsia="Times New Roman"/>
          <w:bCs/>
          <w:snapToGrid w:val="0"/>
          <w:szCs w:val="24"/>
          <w:lang w:val="en-US" w:eastAsia="en-US"/>
        </w:rPr>
        <w:t xml:space="preserve"> (600×600) mm×mm </w:t>
      </w:r>
      <w:r w:rsidRPr="000846FD">
        <w:rPr>
          <w:rFonts w:eastAsia="Times New Roman"/>
          <w:bCs/>
          <w:snapToGrid w:val="0"/>
          <w:szCs w:val="24"/>
          <w:lang w:val="en-US" w:eastAsia="en-US"/>
        </w:rPr>
        <w:sym w:font="Symbol" w:char="F0BE"/>
      </w:r>
      <w:r w:rsidRPr="000846FD">
        <w:rPr>
          <w:rFonts w:eastAsia="Times New Roman"/>
          <w:bCs/>
          <w:snapToGrid w:val="0"/>
          <w:szCs w:val="24"/>
          <w:lang w:val="en-US" w:eastAsia="en-US"/>
        </w:rPr>
        <w:t xml:space="preserve"> and a slightly higher vertical reinforcement, in this case constituted by 24 Ø24 bars, instead of 24 Ø20 bars. The transversal reinforcement, consisting of Ø12 stirrups spaced at 150 mm (bottom end zone) and 250 mm (remaining zones), is identical. Plinths have square plan with sizes of 2200 mm, bottom flange </w:t>
      </w:r>
      <w:r w:rsidRPr="000846FD">
        <w:rPr>
          <w:rFonts w:eastAsia="Times New Roman" w:hint="eastAsia"/>
          <w:bCs/>
          <w:snapToGrid w:val="0"/>
          <w:szCs w:val="24"/>
          <w:lang w:val="en-US" w:eastAsia="en-US"/>
        </w:rPr>
        <w:t>height</w:t>
      </w:r>
      <w:r w:rsidRPr="000846FD">
        <w:rPr>
          <w:rFonts w:eastAsia="Times New Roman"/>
          <w:bCs/>
          <w:snapToGrid w:val="0"/>
          <w:szCs w:val="24"/>
          <w:lang w:val="en-US" w:eastAsia="en-US"/>
        </w:rPr>
        <w:t xml:space="preserve"> of 600 mm, and total height of 1750 mm. The latter is adopted to guarantee the necessary underground height to carry out the required inspection and maintenance activities of the isolators. Like for the DB solution, the concrete volume of columns and plinths is approximately equal to half the volume obtained for the traditional design, whereas the quantity of reinforcement is reduced by about 12%. </w:t>
      </w:r>
      <w:r w:rsidRPr="000846FD">
        <w:rPr>
          <w:rFonts w:eastAsia="Times New Roman"/>
          <w:bCs/>
          <w:snapToGrid w:val="0"/>
          <w:szCs w:val="24"/>
          <w:lang w:val="en-GB" w:eastAsia="en-US"/>
        </w:rPr>
        <w:t xml:space="preserve">The modal analysis for the BI design shows a first translational mode in X, with period of 3.294 s and EMM equal to 98.1%; a first translational mode in Y, with period of 3.212 s and EMM equal to 99%; and a first rotational mode around the vertical axis, with period of 3.131 s and EMM equal to 99.1%. The values of the two translational modes are slightly higher than the </w:t>
      </w:r>
      <w:r w:rsidRPr="000846FD">
        <w:rPr>
          <w:rFonts w:eastAsia="Times New Roman"/>
          <w:bCs/>
          <w:i/>
          <w:snapToGrid w:val="0"/>
          <w:szCs w:val="24"/>
          <w:lang w:val="en-GB" w:eastAsia="en-US"/>
        </w:rPr>
        <w:t>T</w:t>
      </w:r>
      <w:r w:rsidRPr="000846FD">
        <w:rPr>
          <w:rFonts w:eastAsia="Times New Roman"/>
          <w:bCs/>
          <w:i/>
          <w:snapToGrid w:val="0"/>
          <w:szCs w:val="24"/>
          <w:vertAlign w:val="subscript"/>
          <w:lang w:val="en-GB" w:eastAsia="en-US"/>
        </w:rPr>
        <w:t>e</w:t>
      </w:r>
      <w:r w:rsidRPr="000846FD">
        <w:rPr>
          <w:rFonts w:eastAsia="Times New Roman"/>
          <w:bCs/>
          <w:snapToGrid w:val="0"/>
          <w:szCs w:val="24"/>
          <w:lang w:val="en-GB" w:eastAsia="en-US"/>
        </w:rPr>
        <w:t>=3.1 s equivalent vibration period of the isolation system because of the deformability of the superstructure.</w:t>
      </w:r>
    </w:p>
    <w:p w:rsidR="000846FD" w:rsidRPr="000846FD" w:rsidRDefault="000846FD" w:rsidP="000846FD">
      <w:pPr>
        <w:widowControl w:val="0"/>
        <w:tabs>
          <w:tab w:val="left" w:pos="0"/>
        </w:tabs>
        <w:suppressAutoHyphens/>
        <w:spacing w:after="0" w:line="240" w:lineRule="auto"/>
        <w:jc w:val="both"/>
        <w:rPr>
          <w:rFonts w:eastAsia="Times New Roman"/>
          <w:snapToGrid w:val="0"/>
          <w:szCs w:val="24"/>
          <w:lang w:val="en-GB" w:eastAsia="en-US"/>
        </w:rPr>
      </w:pPr>
    </w:p>
    <w:p w:rsidR="000846FD" w:rsidRPr="000846FD" w:rsidRDefault="000846FD" w:rsidP="000846FD">
      <w:pPr>
        <w:keepNext/>
        <w:widowControl w:val="0"/>
        <w:tabs>
          <w:tab w:val="left" w:pos="-1440"/>
          <w:tab w:val="center" w:pos="4680"/>
        </w:tabs>
        <w:suppressAutoHyphens/>
        <w:spacing w:after="0" w:line="240" w:lineRule="auto"/>
        <w:jc w:val="both"/>
        <w:outlineLvl w:val="1"/>
        <w:rPr>
          <w:rFonts w:eastAsia="Times New Roman"/>
          <w:b/>
          <w:bCs/>
          <w:i/>
          <w:snapToGrid w:val="0"/>
          <w:szCs w:val="24"/>
          <w:lang w:val="en-GB" w:eastAsia="en-US"/>
        </w:rPr>
      </w:pPr>
      <w:r w:rsidRPr="000846FD">
        <w:rPr>
          <w:rFonts w:eastAsia="Times New Roman"/>
          <w:b/>
          <w:i/>
          <w:snapToGrid w:val="0"/>
          <w:szCs w:val="24"/>
          <w:lang w:val="en-US" w:eastAsia="en-US"/>
        </w:rPr>
        <w:t xml:space="preserve">6.3 </w:t>
      </w:r>
      <w:r w:rsidRPr="000846FD">
        <w:rPr>
          <w:rFonts w:eastAsia="Times New Roman"/>
          <w:b/>
          <w:bCs/>
          <w:i/>
          <w:snapToGrid w:val="0"/>
          <w:szCs w:val="24"/>
          <w:lang w:val="en-GB" w:eastAsia="en-US"/>
        </w:rPr>
        <w:t>Time-History Verification and Performance Assessment Analysis</w:t>
      </w:r>
    </w:p>
    <w:p w:rsidR="000846FD" w:rsidRPr="000846FD" w:rsidRDefault="000846FD" w:rsidP="000846FD">
      <w:pPr>
        <w:widowControl w:val="0"/>
        <w:spacing w:after="0" w:line="240" w:lineRule="auto"/>
        <w:jc w:val="both"/>
        <w:rPr>
          <w:rFonts w:eastAsia="Times New Roman"/>
          <w:snapToGrid w:val="0"/>
          <w:szCs w:val="24"/>
          <w:lang w:val="en-US" w:eastAsia="en-US"/>
        </w:rPr>
      </w:pPr>
    </w:p>
    <w:p w:rsidR="000846FD" w:rsidRPr="000846FD" w:rsidRDefault="000846FD" w:rsidP="000846FD">
      <w:pPr>
        <w:widowControl w:val="0"/>
        <w:tabs>
          <w:tab w:val="left" w:pos="0"/>
        </w:tabs>
        <w:suppressAutoHyphens/>
        <w:spacing w:after="0" w:line="240" w:lineRule="auto"/>
        <w:jc w:val="both"/>
        <w:rPr>
          <w:rFonts w:eastAsia="Times New Roman"/>
          <w:snapToGrid w:val="0"/>
          <w:szCs w:val="24"/>
          <w:lang w:val="en-US" w:eastAsia="en-US"/>
        </w:rPr>
      </w:pPr>
      <w:r w:rsidRPr="000846FD">
        <w:rPr>
          <w:rFonts w:eastAsia="Times New Roman"/>
          <w:bCs/>
          <w:snapToGrid w:val="0"/>
          <w:szCs w:val="24"/>
          <w:lang w:val="en-GB" w:eastAsia="en-US"/>
        </w:rPr>
        <w:t xml:space="preserve">The force-displacement response cycles in X direction of a Type-1 isolator, situated under a corner column, and a Type-2 isolator, placed in central position, </w:t>
      </w:r>
      <w:r w:rsidRPr="000846FD">
        <w:rPr>
          <w:rFonts w:eastAsia="Times New Roman"/>
          <w:snapToGrid w:val="0"/>
          <w:szCs w:val="24"/>
          <w:lang w:val="en-GB" w:eastAsia="en-US"/>
        </w:rPr>
        <w:t xml:space="preserve">obtained from the most demanding MCE-scaled input accelerogram, are plotted in Figure 12. A peak value of about 142 mm is recorded for both DCSS devices, far from the </w:t>
      </w:r>
      <w:r w:rsidRPr="000846FD">
        <w:rPr>
          <w:rFonts w:eastAsia="Times New Roman"/>
          <w:bCs/>
          <w:i/>
          <w:snapToGrid w:val="0"/>
          <w:szCs w:val="24"/>
          <w:lang w:val="en-GB" w:eastAsia="en-US"/>
        </w:rPr>
        <w:t>d</w:t>
      </w:r>
      <w:r w:rsidRPr="000846FD">
        <w:rPr>
          <w:rFonts w:eastAsia="Times New Roman"/>
          <w:bCs/>
          <w:snapToGrid w:val="0"/>
          <w:szCs w:val="24"/>
          <w:vertAlign w:val="subscript"/>
          <w:lang w:val="en-GB" w:eastAsia="en-US"/>
        </w:rPr>
        <w:t>max</w:t>
      </w:r>
      <w:r w:rsidRPr="000846FD">
        <w:rPr>
          <w:rFonts w:eastAsia="Times New Roman"/>
          <w:bCs/>
          <w:snapToGrid w:val="0"/>
          <w:szCs w:val="24"/>
          <w:lang w:val="en-GB" w:eastAsia="en-US"/>
        </w:rPr>
        <w:t>=±250 mm</w:t>
      </w:r>
      <w:r w:rsidRPr="000846FD">
        <w:rPr>
          <w:rFonts w:eastAsia="Times New Roman"/>
          <w:snapToGrid w:val="0"/>
          <w:szCs w:val="24"/>
          <w:lang w:val="en-GB" w:eastAsia="en-US"/>
        </w:rPr>
        <w:t xml:space="preserve"> displacement capacity of the isolators</w:t>
      </w:r>
      <w:r w:rsidRPr="000846FD">
        <w:rPr>
          <w:rFonts w:eastAsia="Times New Roman"/>
          <w:bCs/>
          <w:snapToGrid w:val="0"/>
          <w:szCs w:val="24"/>
          <w:lang w:val="en-GB" w:eastAsia="en-US"/>
        </w:rPr>
        <w:t>. The practically equal displacements of the two devices also highlight that the time-history response of the base isolated structure is virtually unaffected by plan torsion effects. The maximum base displacements in Y direction, not documented here for brevity’s sake, virtually coincide with the values obtained in X.</w:t>
      </w:r>
      <w:r w:rsidRPr="000846FD">
        <w:rPr>
          <w:rFonts w:eastAsia="Times New Roman"/>
          <w:snapToGrid w:val="0"/>
          <w:szCs w:val="24"/>
          <w:lang w:val="en-US" w:eastAsia="en-US"/>
        </w:rPr>
        <w:t xml:space="preserve"> </w:t>
      </w:r>
    </w:p>
    <w:p w:rsidR="000846FD" w:rsidRPr="000846FD" w:rsidRDefault="000846FD" w:rsidP="000846FD">
      <w:pPr>
        <w:widowControl w:val="0"/>
        <w:tabs>
          <w:tab w:val="left" w:pos="0"/>
          <w:tab w:val="left" w:pos="2268"/>
        </w:tabs>
        <w:suppressAutoHyphens/>
        <w:spacing w:after="0" w:line="240" w:lineRule="auto"/>
        <w:jc w:val="both"/>
        <w:rPr>
          <w:rFonts w:eastAsia="Times New Roman"/>
          <w:snapToGrid w:val="0"/>
          <w:szCs w:val="24"/>
          <w:lang w:val="en-US" w:eastAsia="en-US"/>
        </w:rPr>
      </w:pPr>
    </w:p>
    <w:p w:rsidR="000846FD" w:rsidRPr="000846FD" w:rsidRDefault="000846FD" w:rsidP="000846FD">
      <w:pPr>
        <w:widowControl w:val="0"/>
        <w:tabs>
          <w:tab w:val="left" w:pos="0"/>
          <w:tab w:val="left" w:pos="2268"/>
        </w:tabs>
        <w:suppressAutoHyphens/>
        <w:spacing w:after="0" w:line="240" w:lineRule="auto"/>
        <w:jc w:val="both"/>
        <w:rPr>
          <w:rFonts w:eastAsia="Times New Roman"/>
          <w:snapToGrid w:val="0"/>
          <w:szCs w:val="24"/>
          <w:lang w:val="en-US" w:eastAsia="en-US"/>
        </w:rPr>
      </w:pPr>
      <w:r w:rsidRPr="000846FD">
        <w:rPr>
          <w:rFonts w:eastAsia="Times New Roman"/>
          <w:noProof/>
          <w:snapToGrid w:val="0"/>
          <w:szCs w:val="24"/>
        </w:rPr>
        <w:drawing>
          <wp:anchor distT="0" distB="0" distL="114300" distR="114300" simplePos="0" relativeHeight="251668480" behindDoc="0" locked="0" layoutInCell="1" allowOverlap="1" wp14:anchorId="551FDD09" wp14:editId="426F7D15">
            <wp:simplePos x="0" y="0"/>
            <wp:positionH relativeFrom="column">
              <wp:posOffset>1375410</wp:posOffset>
            </wp:positionH>
            <wp:positionV relativeFrom="paragraph">
              <wp:posOffset>55245</wp:posOffset>
            </wp:positionV>
            <wp:extent cx="3454400" cy="1231900"/>
            <wp:effectExtent l="19050" t="0" r="0" b="0"/>
            <wp:wrapNone/>
            <wp:docPr id="16"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l="22303" t="40615" r="21266" b="45162"/>
                    <a:stretch>
                      <a:fillRect/>
                    </a:stretch>
                  </pic:blipFill>
                  <pic:spPr bwMode="auto">
                    <a:xfrm>
                      <a:off x="0" y="0"/>
                      <a:ext cx="3454400" cy="1231900"/>
                    </a:xfrm>
                    <a:prstGeom prst="rect">
                      <a:avLst/>
                    </a:prstGeom>
                    <a:noFill/>
                    <a:ln w="9525">
                      <a:noFill/>
                      <a:miter lim="800000"/>
                      <a:headEnd/>
                      <a:tailEnd/>
                    </a:ln>
                  </pic:spPr>
                </pic:pic>
              </a:graphicData>
            </a:graphic>
          </wp:anchor>
        </w:drawing>
      </w:r>
    </w:p>
    <w:p w:rsidR="000846FD" w:rsidRPr="000846FD" w:rsidRDefault="000846FD" w:rsidP="000846FD">
      <w:pPr>
        <w:widowControl w:val="0"/>
        <w:tabs>
          <w:tab w:val="left" w:pos="0"/>
        </w:tabs>
        <w:suppressAutoHyphens/>
        <w:spacing w:after="0" w:line="240" w:lineRule="auto"/>
        <w:jc w:val="both"/>
        <w:rPr>
          <w:rFonts w:eastAsia="Times New Roman"/>
          <w:snapToGrid w:val="0"/>
          <w:szCs w:val="24"/>
          <w:lang w:val="en-US" w:eastAsia="en-US"/>
        </w:rPr>
      </w:pPr>
    </w:p>
    <w:p w:rsidR="000846FD" w:rsidRPr="000846FD" w:rsidRDefault="000846FD" w:rsidP="000846FD">
      <w:pPr>
        <w:widowControl w:val="0"/>
        <w:tabs>
          <w:tab w:val="left" w:pos="0"/>
        </w:tabs>
        <w:suppressAutoHyphens/>
        <w:spacing w:after="0" w:line="240" w:lineRule="auto"/>
        <w:jc w:val="both"/>
        <w:rPr>
          <w:rFonts w:eastAsia="Times New Roman"/>
          <w:snapToGrid w:val="0"/>
          <w:szCs w:val="24"/>
          <w:lang w:val="en-US" w:eastAsia="en-US"/>
        </w:rPr>
      </w:pPr>
    </w:p>
    <w:p w:rsidR="000846FD" w:rsidRPr="000846FD" w:rsidRDefault="000846FD" w:rsidP="000846FD">
      <w:pPr>
        <w:widowControl w:val="0"/>
        <w:tabs>
          <w:tab w:val="left" w:pos="0"/>
        </w:tabs>
        <w:suppressAutoHyphens/>
        <w:spacing w:after="0" w:line="240" w:lineRule="auto"/>
        <w:jc w:val="both"/>
        <w:rPr>
          <w:rFonts w:eastAsia="Times New Roman"/>
          <w:snapToGrid w:val="0"/>
          <w:szCs w:val="24"/>
          <w:lang w:val="en-US" w:eastAsia="en-US"/>
        </w:rPr>
      </w:pPr>
    </w:p>
    <w:p w:rsidR="000846FD" w:rsidRPr="000846FD" w:rsidRDefault="000846FD" w:rsidP="000846FD">
      <w:pPr>
        <w:widowControl w:val="0"/>
        <w:tabs>
          <w:tab w:val="left" w:pos="0"/>
        </w:tabs>
        <w:suppressAutoHyphens/>
        <w:spacing w:after="0" w:line="240" w:lineRule="auto"/>
        <w:jc w:val="both"/>
        <w:rPr>
          <w:rFonts w:eastAsia="Times New Roman"/>
          <w:snapToGrid w:val="0"/>
          <w:szCs w:val="24"/>
          <w:lang w:val="en-US" w:eastAsia="en-US"/>
        </w:rPr>
      </w:pPr>
    </w:p>
    <w:p w:rsidR="000846FD" w:rsidRPr="000846FD" w:rsidRDefault="000846FD" w:rsidP="000846FD">
      <w:pPr>
        <w:widowControl w:val="0"/>
        <w:tabs>
          <w:tab w:val="left" w:pos="0"/>
        </w:tabs>
        <w:suppressAutoHyphens/>
        <w:spacing w:after="0" w:line="240" w:lineRule="auto"/>
        <w:jc w:val="both"/>
        <w:rPr>
          <w:rFonts w:eastAsia="Times New Roman"/>
          <w:snapToGrid w:val="0"/>
          <w:szCs w:val="24"/>
          <w:lang w:val="en-US" w:eastAsia="en-US"/>
        </w:rPr>
      </w:pPr>
    </w:p>
    <w:p w:rsidR="000846FD" w:rsidRPr="000846FD" w:rsidRDefault="000846FD" w:rsidP="000846FD">
      <w:pPr>
        <w:widowControl w:val="0"/>
        <w:tabs>
          <w:tab w:val="left" w:pos="0"/>
        </w:tabs>
        <w:suppressAutoHyphens/>
        <w:spacing w:after="0" w:line="240" w:lineRule="auto"/>
        <w:jc w:val="both"/>
        <w:rPr>
          <w:rFonts w:eastAsia="Times New Roman"/>
          <w:snapToGrid w:val="0"/>
          <w:szCs w:val="24"/>
          <w:lang w:val="en-US" w:eastAsia="en-US"/>
        </w:rPr>
      </w:pPr>
    </w:p>
    <w:p w:rsidR="000846FD" w:rsidRPr="000846FD" w:rsidRDefault="000846FD" w:rsidP="000846FD">
      <w:pPr>
        <w:widowControl w:val="0"/>
        <w:tabs>
          <w:tab w:val="left" w:pos="0"/>
        </w:tabs>
        <w:suppressAutoHyphens/>
        <w:spacing w:after="0" w:line="240" w:lineRule="auto"/>
        <w:jc w:val="both"/>
        <w:rPr>
          <w:rFonts w:eastAsia="Times New Roman"/>
          <w:snapToGrid w:val="0"/>
          <w:szCs w:val="24"/>
          <w:lang w:val="en-US" w:eastAsia="en-US"/>
        </w:rPr>
      </w:pPr>
    </w:p>
    <w:p w:rsidR="000846FD" w:rsidRPr="000846FD" w:rsidRDefault="000846FD" w:rsidP="000846FD">
      <w:pPr>
        <w:widowControl w:val="0"/>
        <w:tabs>
          <w:tab w:val="left" w:pos="0"/>
        </w:tabs>
        <w:suppressAutoHyphens/>
        <w:spacing w:after="0" w:line="240" w:lineRule="auto"/>
        <w:jc w:val="both"/>
        <w:rPr>
          <w:rFonts w:eastAsia="Times New Roman"/>
          <w:snapToGrid w:val="0"/>
          <w:szCs w:val="24"/>
          <w:lang w:val="en-US" w:eastAsia="en-US"/>
        </w:rPr>
      </w:pPr>
    </w:p>
    <w:p w:rsidR="000846FD" w:rsidRPr="000846FD" w:rsidRDefault="000846FD" w:rsidP="000846FD">
      <w:pPr>
        <w:widowControl w:val="0"/>
        <w:spacing w:after="0" w:line="240" w:lineRule="auto"/>
        <w:jc w:val="center"/>
        <w:rPr>
          <w:rFonts w:eastAsia="Times New Roman"/>
          <w:snapToGrid w:val="0"/>
          <w:sz w:val="20"/>
          <w:szCs w:val="24"/>
          <w:lang w:val="en-GB" w:eastAsia="it-IT"/>
        </w:rPr>
      </w:pPr>
      <w:r w:rsidRPr="000846FD">
        <w:rPr>
          <w:rFonts w:eastAsia="Times New Roman"/>
          <w:snapToGrid w:val="0"/>
          <w:sz w:val="20"/>
          <w:szCs w:val="24"/>
          <w:lang w:val="en-GB" w:eastAsia="it-IT"/>
        </w:rPr>
        <w:t>Figure 12. BI-based design. Response cycles in X direction of a Type-1 and a Type-2 isolator obtained from the most demanding MCE-scaled group of input accelerograms</w:t>
      </w: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r w:rsidRPr="000846FD">
        <w:rPr>
          <w:rFonts w:eastAsia="Times New Roman"/>
          <w:bCs/>
          <w:snapToGrid w:val="0"/>
          <w:szCs w:val="24"/>
          <w:lang w:val="en-GB" w:eastAsia="en-US"/>
        </w:rPr>
        <w:t xml:space="preserve">The base shear and top displacement time-histories obtained in Y direction from the most demanding MCE-scaled group of input motions, displayed in Figure 13, highlight a reduction factor of about 3.5 (peak base shears) and 1.9 (peak top displacements) when passing from the traditional to the BI-based design. Like for the DB-based one, the drop of stress states in columns related to the reduction of base shear causes their elastic response up to the MCE, with a corresponding maximum value of the coefficient of exploitation </w:t>
      </w:r>
      <w:r w:rsidRPr="000846FD">
        <w:rPr>
          <w:rFonts w:ascii="Symbol" w:eastAsia="Times New Roman" w:hAnsi="Symbol"/>
          <w:bCs/>
          <w:snapToGrid w:val="0"/>
          <w:szCs w:val="24"/>
          <w:lang w:val="en-GB" w:eastAsia="en-US"/>
        </w:rPr>
        <w:t></w:t>
      </w:r>
      <w:r w:rsidRPr="000846FD">
        <w:rPr>
          <w:rFonts w:eastAsia="Times New Roman"/>
          <w:bCs/>
          <w:snapToGrid w:val="0"/>
          <w:szCs w:val="24"/>
          <w:lang w:val="en-GB" w:eastAsia="en-US"/>
        </w:rPr>
        <w:t xml:space="preserve"> equal to 0.88 in this case. The maximum </w:t>
      </w:r>
      <w:r w:rsidRPr="000846FD">
        <w:rPr>
          <w:rFonts w:eastAsia="Times New Roman"/>
          <w:bCs/>
          <w:i/>
          <w:snapToGrid w:val="0"/>
          <w:szCs w:val="24"/>
          <w:lang w:val="en-GB" w:eastAsia="en-US"/>
        </w:rPr>
        <w:t>d</w:t>
      </w:r>
      <w:r w:rsidRPr="000846FD">
        <w:rPr>
          <w:rFonts w:eastAsia="Times New Roman"/>
          <w:bCs/>
          <w:i/>
          <w:snapToGrid w:val="0"/>
          <w:szCs w:val="24"/>
          <w:vertAlign w:val="subscript"/>
          <w:lang w:val="en-GB" w:eastAsia="en-US"/>
        </w:rPr>
        <w:t>rp</w:t>
      </w:r>
      <w:r w:rsidRPr="000846FD">
        <w:rPr>
          <w:rFonts w:eastAsia="Times New Roman"/>
          <w:bCs/>
          <w:snapToGrid w:val="0"/>
          <w:szCs w:val="24"/>
          <w:lang w:val="en-GB" w:eastAsia="en-US"/>
        </w:rPr>
        <w:t xml:space="preserve"> drift ratios of panels determined by the reduction of top displacements are equal to 0.62 % at the BDE, i.e. below the 0.66% OP-related drift limit, and 0.81% at the MCE, below the 1% IO-related drift limit. Thus, no damage of panels is expected at the BDE for the BI-based design solution too, and a very slight and easy repairable damage at the MCE. </w:t>
      </w: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r w:rsidRPr="000846FD">
        <w:rPr>
          <w:rFonts w:eastAsia="Times New Roman"/>
          <w:bCs/>
          <w:noProof/>
          <w:snapToGrid w:val="0"/>
          <w:szCs w:val="24"/>
        </w:rPr>
        <w:drawing>
          <wp:anchor distT="0" distB="0" distL="114300" distR="114300" simplePos="0" relativeHeight="251669504" behindDoc="0" locked="0" layoutInCell="1" allowOverlap="1" wp14:anchorId="4A1E6E2A" wp14:editId="0C750B71">
            <wp:simplePos x="0" y="0"/>
            <wp:positionH relativeFrom="column">
              <wp:posOffset>1343660</wp:posOffset>
            </wp:positionH>
            <wp:positionV relativeFrom="paragraph">
              <wp:posOffset>86995</wp:posOffset>
            </wp:positionV>
            <wp:extent cx="3409950" cy="1212850"/>
            <wp:effectExtent l="19050" t="0" r="0" b="0"/>
            <wp:wrapNone/>
            <wp:docPr id="17"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l="22199" t="41642" r="22095" b="44355"/>
                    <a:stretch>
                      <a:fillRect/>
                    </a:stretch>
                  </pic:blipFill>
                  <pic:spPr bwMode="auto">
                    <a:xfrm>
                      <a:off x="0" y="0"/>
                      <a:ext cx="3409950" cy="1212850"/>
                    </a:xfrm>
                    <a:prstGeom prst="rect">
                      <a:avLst/>
                    </a:prstGeom>
                    <a:noFill/>
                    <a:ln w="9525">
                      <a:noFill/>
                      <a:miter lim="800000"/>
                      <a:headEnd/>
                      <a:tailEnd/>
                    </a:ln>
                  </pic:spPr>
                </pic:pic>
              </a:graphicData>
            </a:graphic>
          </wp:anchor>
        </w:drawing>
      </w: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snapToGrid w:val="0"/>
          <w:szCs w:val="24"/>
          <w:lang w:val="en-GB" w:eastAsia="en-US"/>
        </w:rPr>
      </w:pPr>
    </w:p>
    <w:p w:rsidR="000846FD" w:rsidRPr="000846FD" w:rsidRDefault="000846FD" w:rsidP="000846FD">
      <w:pPr>
        <w:widowControl w:val="0"/>
        <w:spacing w:after="0" w:line="240" w:lineRule="auto"/>
        <w:jc w:val="center"/>
        <w:rPr>
          <w:rFonts w:eastAsia="Times New Roman"/>
          <w:snapToGrid w:val="0"/>
          <w:sz w:val="20"/>
          <w:szCs w:val="20"/>
          <w:lang w:val="en-GB" w:eastAsia="it-IT"/>
        </w:rPr>
      </w:pPr>
      <w:r w:rsidRPr="000846FD">
        <w:rPr>
          <w:rFonts w:eastAsia="Times New Roman"/>
          <w:snapToGrid w:val="0"/>
          <w:sz w:val="20"/>
          <w:szCs w:val="20"/>
          <w:lang w:val="en-GB" w:eastAsia="it-IT"/>
        </w:rPr>
        <w:t xml:space="preserve">Figure 13. Comparison of base shear and top displacement time-histories in Y direction for the traditional and BI-based designs  </w:t>
      </w:r>
    </w:p>
    <w:p w:rsidR="000846FD" w:rsidRPr="000846FD" w:rsidRDefault="000846FD" w:rsidP="000846FD">
      <w:pPr>
        <w:widowControl w:val="0"/>
        <w:tabs>
          <w:tab w:val="left" w:pos="0"/>
        </w:tabs>
        <w:suppressAutoHyphens/>
        <w:spacing w:after="0" w:line="240" w:lineRule="auto"/>
        <w:jc w:val="both"/>
        <w:rPr>
          <w:rFonts w:eastAsia="Times New Roman"/>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US" w:eastAsia="en-US"/>
        </w:rPr>
      </w:pPr>
      <w:r w:rsidRPr="000846FD">
        <w:rPr>
          <w:rFonts w:eastAsia="Times New Roman"/>
          <w:snapToGrid w:val="0"/>
          <w:szCs w:val="24"/>
          <w:lang w:val="en-GB" w:eastAsia="en-US"/>
        </w:rPr>
        <w:t xml:space="preserve">The estimated total cost of the structure amounts to about 764,000 Euros, that is, 25.2% greater than the cost of the conventional design, and 21.8% greater than the DB-based design. This increased amount is caused by the construction of the </w:t>
      </w:r>
      <w:r w:rsidRPr="000846FD">
        <w:rPr>
          <w:rFonts w:eastAsia="Times New Roman"/>
          <w:bCs/>
          <w:snapToGrid w:val="0"/>
          <w:szCs w:val="24"/>
          <w:lang w:val="en-GB" w:eastAsia="en-US"/>
        </w:rPr>
        <w:t>ground floor and the perimeter retaining wall, whose additional costs exceed the reduction of the cost of columns and plinths determined by the incorporation of the seismic isolation system.</w:t>
      </w: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r w:rsidRPr="000846FD">
        <w:rPr>
          <w:rFonts w:eastAsia="Times New Roman"/>
          <w:bCs/>
          <w:snapToGrid w:val="0"/>
          <w:szCs w:val="24"/>
          <w:lang w:val="en-GB" w:eastAsia="en-US"/>
        </w:rPr>
        <w:t xml:space="preserve">It can be observed that the greater cost of the BI-based design would be fully motivated if a basement was built (to host plants, storage volumes, garages, etc), instead of the underground space strictly required by the inspection and maintenance activities of the isolators. Indeed, in spite of a further additional cost of about 30,000 Euros related to a 1.2 m greater height of plinths and retaining wall needed to obtain a usable basement space, the latter would provide a significant economic and functional added value to the building. Furthermore, an additional benefit of the BI technology consists in the total protection of contents (machineries, scaffoldings, shelves, furnishes, etc) and plants, whose economic value is often comparable to — and sometimes even greater than — the value of the building. </w:t>
      </w:r>
    </w:p>
    <w:p w:rsidR="000846FD" w:rsidRPr="000846FD" w:rsidRDefault="000846FD" w:rsidP="000846FD">
      <w:pPr>
        <w:widowControl w:val="0"/>
        <w:tabs>
          <w:tab w:val="left" w:pos="0"/>
        </w:tabs>
        <w:suppressAutoHyphens/>
        <w:spacing w:after="0" w:line="240" w:lineRule="auto"/>
        <w:jc w:val="both"/>
        <w:rPr>
          <w:rFonts w:eastAsia="Times New Roman"/>
          <w:snapToGrid w:val="0"/>
          <w:szCs w:val="24"/>
          <w:lang w:val="en-GB" w:eastAsia="en-US"/>
        </w:rPr>
      </w:pPr>
    </w:p>
    <w:p w:rsidR="000846FD" w:rsidRPr="000846FD" w:rsidRDefault="000846FD" w:rsidP="000846FD">
      <w:pPr>
        <w:widowControl w:val="0"/>
        <w:tabs>
          <w:tab w:val="left" w:pos="0"/>
        </w:tabs>
        <w:suppressAutoHyphens/>
        <w:spacing w:after="0" w:line="240" w:lineRule="auto"/>
        <w:jc w:val="both"/>
        <w:rPr>
          <w:rFonts w:eastAsia="Times New Roman"/>
          <w:snapToGrid w:val="0"/>
          <w:szCs w:val="24"/>
          <w:lang w:val="en-GB" w:eastAsia="en-US"/>
        </w:rPr>
      </w:pPr>
    </w:p>
    <w:p w:rsidR="000846FD" w:rsidRPr="000846FD" w:rsidRDefault="000846FD" w:rsidP="000846FD">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0846FD">
        <w:rPr>
          <w:rFonts w:eastAsia="Times New Roman"/>
          <w:b/>
          <w:caps/>
          <w:snapToGrid w:val="0"/>
          <w:szCs w:val="24"/>
          <w:lang w:val="en-US" w:eastAsia="en-US"/>
        </w:rPr>
        <w:t>7. Conclusions</w:t>
      </w:r>
    </w:p>
    <w:p w:rsidR="000846FD" w:rsidRPr="000846FD" w:rsidRDefault="000846FD" w:rsidP="000846FD">
      <w:pPr>
        <w:widowControl w:val="0"/>
        <w:spacing w:after="0" w:line="240" w:lineRule="auto"/>
        <w:jc w:val="both"/>
        <w:rPr>
          <w:rFonts w:eastAsia="Times New Roman"/>
          <w:snapToGrid w:val="0"/>
          <w:szCs w:val="24"/>
          <w:lang w:val="en-US" w:eastAsia="en-US"/>
        </w:rPr>
      </w:pP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US" w:eastAsia="en-US"/>
        </w:rPr>
      </w:pPr>
      <w:r w:rsidRPr="000846FD">
        <w:rPr>
          <w:rFonts w:eastAsia="Times New Roman"/>
          <w:bCs/>
          <w:snapToGrid w:val="0"/>
          <w:szCs w:val="24"/>
          <w:lang w:val="en-US" w:eastAsia="en-US"/>
        </w:rPr>
        <w:t>The dissipative bracing and base isolation design solutions developed for the case study prefab R/C building examined in this paper allow reaching an elastic structural response and an undamaged response of the cladding panels up to the maximum considered earthquake level with columns and foundation plinths of significantly smaller sizes than in the ductility-based conventional design.</w:t>
      </w:r>
    </w:p>
    <w:p w:rsidR="000846FD" w:rsidRPr="000846FD" w:rsidRDefault="000846FD" w:rsidP="000846FD">
      <w:pPr>
        <w:widowControl w:val="0"/>
        <w:tabs>
          <w:tab w:val="left" w:pos="0"/>
        </w:tabs>
        <w:suppressAutoHyphens/>
        <w:spacing w:after="0" w:line="240" w:lineRule="auto"/>
        <w:jc w:val="both"/>
        <w:rPr>
          <w:rFonts w:eastAsia="Times New Roman"/>
          <w:snapToGrid w:val="0"/>
          <w:szCs w:val="24"/>
          <w:lang w:val="en-US" w:eastAsia="en-US"/>
        </w:rPr>
      </w:pPr>
      <w:r w:rsidRPr="000846FD">
        <w:rPr>
          <w:rFonts w:eastAsia="Times New Roman"/>
          <w:bCs/>
          <w:snapToGrid w:val="0"/>
          <w:szCs w:val="24"/>
          <w:lang w:val="en-US" w:eastAsia="en-US"/>
        </w:rPr>
        <w:t xml:space="preserve">The </w:t>
      </w:r>
      <w:r w:rsidRPr="000846FD">
        <w:rPr>
          <w:rFonts w:eastAsia="Times New Roman"/>
          <w:snapToGrid w:val="0"/>
          <w:szCs w:val="24"/>
          <w:lang w:val="en-US" w:eastAsia="en-US"/>
        </w:rPr>
        <w:t>extensive repair interventions required in conventional design</w:t>
      </w:r>
      <w:r w:rsidRPr="000846FD">
        <w:rPr>
          <w:rFonts w:eastAsia="Times New Roman"/>
          <w:bCs/>
          <w:snapToGrid w:val="0"/>
          <w:szCs w:val="24"/>
          <w:lang w:val="en-US" w:eastAsia="en-US"/>
        </w:rPr>
        <w:t xml:space="preserve"> imply costs approximately equal to 30% and 50% of the original construction cost of the structure under seismic events with comparable intensity to the BDE, and the MCE, respectively. These data highlight the appropriateness of the two advanced designs, whose costs are virtually coinciding with the conventional solution (DB) or about 25% higher (BI). Additional costs related to the </w:t>
      </w:r>
      <w:r w:rsidRPr="000846FD">
        <w:rPr>
          <w:rFonts w:eastAsia="Times New Roman"/>
          <w:snapToGrid w:val="0"/>
          <w:szCs w:val="24"/>
          <w:lang w:val="en-US" w:eastAsia="en-US"/>
        </w:rPr>
        <w:t xml:space="preserve">long interruption of usage of the building (and thus of the manufacturing and business activities housed in it), required to carry out the necessary post-quake repair works, </w:t>
      </w:r>
      <w:r w:rsidRPr="000846FD">
        <w:rPr>
          <w:rFonts w:eastAsia="Times New Roman"/>
          <w:bCs/>
          <w:snapToGrid w:val="0"/>
          <w:szCs w:val="24"/>
          <w:lang w:val="en-US" w:eastAsia="en-US"/>
        </w:rPr>
        <w:t>must also be accounted for in the conventional design</w:t>
      </w:r>
      <w:r w:rsidRPr="000846FD">
        <w:rPr>
          <w:rFonts w:eastAsia="Times New Roman"/>
          <w:snapToGrid w:val="0"/>
          <w:szCs w:val="24"/>
          <w:lang w:val="en-US" w:eastAsia="en-US"/>
        </w:rPr>
        <w:t xml:space="preserve">. </w:t>
      </w:r>
    </w:p>
    <w:p w:rsidR="000846FD" w:rsidRPr="000846FD" w:rsidRDefault="000846FD" w:rsidP="000846FD">
      <w:pPr>
        <w:widowControl w:val="0"/>
        <w:tabs>
          <w:tab w:val="left" w:pos="0"/>
        </w:tabs>
        <w:suppressAutoHyphens/>
        <w:spacing w:after="0" w:line="240" w:lineRule="auto"/>
        <w:jc w:val="both"/>
        <w:rPr>
          <w:rFonts w:eastAsia="Times New Roman"/>
          <w:snapToGrid w:val="0"/>
          <w:szCs w:val="24"/>
          <w:lang w:val="en-GB" w:eastAsia="en-US"/>
        </w:rPr>
      </w:pPr>
      <w:r w:rsidRPr="000846FD">
        <w:rPr>
          <w:rFonts w:eastAsia="Times New Roman"/>
          <w:snapToGrid w:val="0"/>
          <w:szCs w:val="24"/>
          <w:lang w:val="en-GB" w:eastAsia="en-US"/>
        </w:rPr>
        <w:t>The installation layout of the FV springs-dampers incorporated in the DB system is similar to the basic configuration adopted for frame buildings, and their sizing criterion is the same. The high damping capacity of these dissipaters allows meeting the required seismic performance with a small number (eight pairs in total) of medium-sized devices in current production. The resulting eight DB system alignments are located at the four corners of the building, causing a null impact on the architectural plan. In view of this, the application of this dissipative bracing technology could be easily extended to other types of prefab R/C structures (e.g. with differently shaped girders and connection beams, with wider or smaller spans, for multi-storey and /or multi-span structures, etc).</w:t>
      </w:r>
    </w:p>
    <w:p w:rsidR="000846FD" w:rsidRPr="000846FD" w:rsidRDefault="000846FD" w:rsidP="000846FD">
      <w:pPr>
        <w:widowControl w:val="0"/>
        <w:tabs>
          <w:tab w:val="left" w:pos="0"/>
        </w:tabs>
        <w:suppressAutoHyphens/>
        <w:spacing w:after="0" w:line="240" w:lineRule="auto"/>
        <w:jc w:val="both"/>
        <w:rPr>
          <w:rFonts w:eastAsia="Times New Roman"/>
          <w:bCs/>
          <w:snapToGrid w:val="0"/>
          <w:szCs w:val="24"/>
          <w:lang w:val="en-GB" w:eastAsia="en-US"/>
        </w:rPr>
      </w:pPr>
      <w:r w:rsidRPr="000846FD">
        <w:rPr>
          <w:rFonts w:eastAsia="Times New Roman"/>
          <w:bCs/>
          <w:snapToGrid w:val="0"/>
          <w:szCs w:val="24"/>
          <w:lang w:val="en-GB" w:eastAsia="en-US"/>
        </w:rPr>
        <w:t>The about 25% and 22% greater cost computed for the BI solution in comparison to the cost of the conventional and DB-based design, respectively, is caused by the construction of the ground floor and the perimeter retaining wall. Like for ordinary frame structures, this suggests to adopt a base isolation system in hall-type prefab buildings when they include a basement. However, an additional benefit of the BI design, also with respect to the dissipative bracing solution, is represented by a notably greater protection of contents and plants, as they are fully supported by the seismically isolated ground floor.</w:t>
      </w:r>
    </w:p>
    <w:p w:rsidR="000846FD" w:rsidRPr="000846FD" w:rsidRDefault="000846FD" w:rsidP="000846FD">
      <w:pPr>
        <w:widowControl w:val="0"/>
        <w:tabs>
          <w:tab w:val="left" w:pos="0"/>
        </w:tabs>
        <w:suppressAutoHyphens/>
        <w:spacing w:after="0" w:line="240" w:lineRule="auto"/>
        <w:jc w:val="both"/>
        <w:rPr>
          <w:rFonts w:eastAsia="Times New Roman"/>
          <w:snapToGrid w:val="0"/>
          <w:szCs w:val="24"/>
          <w:lang w:val="en-GB" w:eastAsia="en-US"/>
        </w:rPr>
      </w:pPr>
      <w:r w:rsidRPr="000846FD">
        <w:rPr>
          <w:rFonts w:eastAsia="Times New Roman"/>
          <w:snapToGrid w:val="0"/>
          <w:szCs w:val="24"/>
          <w:lang w:val="en-US" w:eastAsia="en-US"/>
        </w:rPr>
        <w:t>Based on these findings, the study carried out on the representative building examined here underlines the potential of the considered DB and BI technologies as alternative design strategies for hall-type prefab R/C buildings having similar characteristics.</w:t>
      </w:r>
    </w:p>
    <w:p w:rsidR="000846FD" w:rsidRPr="000846FD" w:rsidRDefault="000846FD" w:rsidP="000846FD">
      <w:pPr>
        <w:widowControl w:val="0"/>
        <w:spacing w:after="0" w:line="240" w:lineRule="auto"/>
        <w:jc w:val="both"/>
        <w:rPr>
          <w:rFonts w:eastAsia="Times New Roman"/>
          <w:snapToGrid w:val="0"/>
          <w:szCs w:val="24"/>
          <w:lang w:val="en-US" w:eastAsia="en-US"/>
        </w:rPr>
      </w:pPr>
    </w:p>
    <w:p w:rsidR="000846FD" w:rsidRPr="000846FD" w:rsidRDefault="000846FD" w:rsidP="000846FD">
      <w:pPr>
        <w:widowControl w:val="0"/>
        <w:spacing w:after="0" w:line="240" w:lineRule="auto"/>
        <w:jc w:val="both"/>
        <w:rPr>
          <w:rFonts w:eastAsia="Times New Roman"/>
          <w:snapToGrid w:val="0"/>
          <w:szCs w:val="24"/>
          <w:lang w:val="en-US" w:eastAsia="en-US"/>
        </w:rPr>
      </w:pPr>
    </w:p>
    <w:p w:rsidR="000846FD" w:rsidRPr="000846FD" w:rsidRDefault="000846FD" w:rsidP="000846FD">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bookmarkStart w:id="1" w:name="_Toc379629628"/>
      <w:bookmarkStart w:id="2" w:name="_Toc379694064"/>
      <w:bookmarkStart w:id="3" w:name="_Toc379694194"/>
      <w:bookmarkStart w:id="4" w:name="_Toc379694311"/>
      <w:bookmarkStart w:id="5" w:name="_Toc380056998"/>
      <w:r w:rsidRPr="000846FD">
        <w:rPr>
          <w:rFonts w:eastAsia="Times New Roman"/>
          <w:b/>
          <w:caps/>
          <w:snapToGrid w:val="0"/>
          <w:szCs w:val="24"/>
          <w:lang w:val="en-US" w:eastAsia="en-US"/>
        </w:rPr>
        <w:t>8. Acknowledgments</w:t>
      </w:r>
      <w:bookmarkEnd w:id="1"/>
      <w:bookmarkEnd w:id="2"/>
      <w:bookmarkEnd w:id="3"/>
      <w:bookmarkEnd w:id="4"/>
      <w:bookmarkEnd w:id="5"/>
      <w:r w:rsidRPr="000846FD">
        <w:rPr>
          <w:rFonts w:eastAsia="Times New Roman"/>
          <w:b/>
          <w:caps/>
          <w:snapToGrid w:val="0"/>
          <w:szCs w:val="24"/>
          <w:lang w:val="en-US" w:eastAsia="en-US"/>
        </w:rPr>
        <w:t xml:space="preserve"> </w:t>
      </w:r>
    </w:p>
    <w:p w:rsidR="000846FD" w:rsidRPr="000846FD" w:rsidRDefault="000846FD" w:rsidP="000846FD">
      <w:pPr>
        <w:widowControl w:val="0"/>
        <w:spacing w:after="0" w:line="240" w:lineRule="auto"/>
        <w:jc w:val="both"/>
        <w:rPr>
          <w:rFonts w:eastAsia="Times New Roman"/>
          <w:snapToGrid w:val="0"/>
          <w:szCs w:val="24"/>
          <w:lang w:val="en-US" w:eastAsia="en-US"/>
        </w:rPr>
      </w:pPr>
    </w:p>
    <w:p w:rsidR="000846FD" w:rsidRPr="000846FD" w:rsidRDefault="000846FD" w:rsidP="000846FD">
      <w:pPr>
        <w:widowControl w:val="0"/>
        <w:tabs>
          <w:tab w:val="left" w:pos="0"/>
          <w:tab w:val="left" w:pos="720"/>
          <w:tab w:val="left" w:pos="1086"/>
          <w:tab w:val="left" w:pos="1440"/>
        </w:tabs>
        <w:suppressAutoHyphens/>
        <w:spacing w:after="0" w:line="240" w:lineRule="auto"/>
        <w:jc w:val="both"/>
        <w:rPr>
          <w:rFonts w:eastAsia="Times New Roman"/>
          <w:snapToGrid w:val="0"/>
          <w:szCs w:val="24"/>
          <w:lang w:val="it-IT" w:eastAsia="en-US"/>
        </w:rPr>
      </w:pPr>
      <w:r w:rsidRPr="000846FD">
        <w:rPr>
          <w:rFonts w:eastAsia="Times New Roman"/>
          <w:snapToGrid w:val="0"/>
          <w:szCs w:val="24"/>
          <w:lang w:val="en-GB" w:eastAsia="en-US"/>
        </w:rPr>
        <w:t xml:space="preserve">The study reported in this paper was sponsored by the Italian Department of Civil Protection within the ReLUIS-DPC Project 2019-2021 – Work Package 15: Normative Contributions for Isolation and Dissipation. </w:t>
      </w:r>
      <w:r w:rsidRPr="000846FD">
        <w:rPr>
          <w:rFonts w:eastAsia="Times New Roman"/>
          <w:snapToGrid w:val="0"/>
          <w:szCs w:val="24"/>
          <w:lang w:val="it-IT" w:eastAsia="en-US"/>
        </w:rPr>
        <w:t xml:space="preserve">The authors gratefully acknowledge this financial support. </w:t>
      </w:r>
    </w:p>
    <w:p w:rsidR="000846FD" w:rsidRPr="000846FD" w:rsidRDefault="000846FD" w:rsidP="000846FD">
      <w:pPr>
        <w:widowControl w:val="0"/>
        <w:tabs>
          <w:tab w:val="left" w:pos="0"/>
          <w:tab w:val="left" w:pos="720"/>
          <w:tab w:val="left" w:pos="1086"/>
          <w:tab w:val="left" w:pos="1440"/>
        </w:tabs>
        <w:suppressAutoHyphens/>
        <w:spacing w:after="0" w:line="240" w:lineRule="auto"/>
        <w:jc w:val="both"/>
        <w:rPr>
          <w:rFonts w:eastAsia="Times New Roman"/>
          <w:snapToGrid w:val="0"/>
          <w:szCs w:val="24"/>
          <w:lang w:val="it-IT" w:eastAsia="en-US"/>
        </w:rPr>
      </w:pPr>
    </w:p>
    <w:p w:rsidR="000846FD" w:rsidRPr="000846FD" w:rsidRDefault="000846FD" w:rsidP="000846FD">
      <w:pPr>
        <w:widowControl w:val="0"/>
        <w:tabs>
          <w:tab w:val="left" w:pos="0"/>
          <w:tab w:val="left" w:pos="720"/>
          <w:tab w:val="left" w:pos="1086"/>
          <w:tab w:val="left" w:pos="1440"/>
        </w:tabs>
        <w:suppressAutoHyphens/>
        <w:spacing w:after="0" w:line="240" w:lineRule="auto"/>
        <w:jc w:val="both"/>
        <w:rPr>
          <w:rFonts w:eastAsia="Times New Roman"/>
          <w:snapToGrid w:val="0"/>
          <w:szCs w:val="24"/>
          <w:lang w:val="it-IT" w:eastAsia="en-US"/>
        </w:rPr>
      </w:pPr>
    </w:p>
    <w:p w:rsidR="000846FD" w:rsidRPr="000846FD" w:rsidRDefault="000846FD" w:rsidP="000846FD">
      <w:pPr>
        <w:keepNext/>
        <w:widowControl w:val="0"/>
        <w:tabs>
          <w:tab w:val="center" w:pos="4680"/>
        </w:tabs>
        <w:suppressAutoHyphens/>
        <w:spacing w:after="0" w:line="240" w:lineRule="auto"/>
        <w:jc w:val="both"/>
        <w:outlineLvl w:val="0"/>
        <w:rPr>
          <w:rFonts w:eastAsia="Times New Roman"/>
          <w:b/>
          <w:caps/>
          <w:snapToGrid w:val="0"/>
          <w:szCs w:val="24"/>
          <w:lang w:val="it-IT" w:eastAsia="en-US"/>
        </w:rPr>
      </w:pPr>
      <w:r w:rsidRPr="000846FD">
        <w:rPr>
          <w:rFonts w:eastAsia="Times New Roman"/>
          <w:b/>
          <w:caps/>
          <w:snapToGrid w:val="0"/>
          <w:szCs w:val="24"/>
          <w:lang w:val="it-IT" w:eastAsia="en-US"/>
        </w:rPr>
        <w:t>9. References</w:t>
      </w:r>
    </w:p>
    <w:p w:rsidR="000846FD" w:rsidRPr="000846FD" w:rsidRDefault="000846FD" w:rsidP="000846FD">
      <w:pPr>
        <w:widowControl w:val="0"/>
        <w:tabs>
          <w:tab w:val="left" w:pos="0"/>
          <w:tab w:val="left" w:pos="720"/>
          <w:tab w:val="left" w:pos="1086"/>
          <w:tab w:val="left" w:pos="1440"/>
        </w:tabs>
        <w:suppressAutoHyphens/>
        <w:spacing w:after="0" w:line="240" w:lineRule="auto"/>
        <w:jc w:val="both"/>
        <w:rPr>
          <w:rFonts w:eastAsia="Times New Roman"/>
          <w:snapToGrid w:val="0"/>
          <w:szCs w:val="24"/>
          <w:lang w:val="it-IT" w:eastAsia="en-US"/>
        </w:rPr>
      </w:pPr>
    </w:p>
    <w:p w:rsidR="000846FD" w:rsidRPr="000846FD" w:rsidRDefault="000846FD" w:rsidP="000846FD">
      <w:pPr>
        <w:widowControl w:val="0"/>
        <w:spacing w:after="120" w:line="240" w:lineRule="auto"/>
        <w:jc w:val="both"/>
        <w:rPr>
          <w:rFonts w:eastAsia="Calibri"/>
          <w:snapToGrid w:val="0"/>
          <w:color w:val="000000"/>
          <w:sz w:val="20"/>
          <w:szCs w:val="20"/>
          <w:lang w:val="en-GB" w:eastAsia="en-US" w:bidi="en-US"/>
        </w:rPr>
      </w:pPr>
      <w:r w:rsidRPr="000846FD">
        <w:rPr>
          <w:rFonts w:eastAsia="Calibri"/>
          <w:snapToGrid w:val="0"/>
          <w:color w:val="000000"/>
          <w:sz w:val="20"/>
          <w:szCs w:val="20"/>
          <w:lang w:val="it-IT" w:eastAsia="en-US" w:bidi="en-US"/>
        </w:rPr>
        <w:t xml:space="preserve">Antonucci R., Balducci F., Cappanera F., Castellano M.G. (2009) Strutture prefabbricate con controventi dissipativi: l’esempio del nuovo polo didattico della Facoltà di Ingegneria dell’Università Politecnica delle Marche di Ancona. </w:t>
      </w:r>
      <w:r w:rsidRPr="000846FD">
        <w:rPr>
          <w:rFonts w:eastAsia="Calibri"/>
          <w:i/>
          <w:snapToGrid w:val="0"/>
          <w:color w:val="000000"/>
          <w:sz w:val="20"/>
          <w:szCs w:val="20"/>
          <w:lang w:val="en-GB" w:eastAsia="en-US" w:bidi="en-US"/>
        </w:rPr>
        <w:t>Progettazione sismica</w:t>
      </w:r>
      <w:r w:rsidRPr="000846FD">
        <w:rPr>
          <w:rFonts w:eastAsia="Calibri"/>
          <w:snapToGrid w:val="0"/>
          <w:color w:val="000000"/>
          <w:sz w:val="20"/>
          <w:szCs w:val="20"/>
          <w:lang w:val="en-GB" w:eastAsia="en-US" w:bidi="en-US"/>
        </w:rPr>
        <w:t>, (1): 85-103 [in Italian].</w:t>
      </w:r>
    </w:p>
    <w:p w:rsidR="000846FD" w:rsidRPr="000846FD" w:rsidRDefault="000846FD" w:rsidP="000846FD">
      <w:pPr>
        <w:widowControl w:val="0"/>
        <w:spacing w:after="120" w:line="240" w:lineRule="auto"/>
        <w:jc w:val="both"/>
        <w:rPr>
          <w:rFonts w:eastAsia="Calibri"/>
          <w:iCs/>
          <w:snapToGrid w:val="0"/>
          <w:color w:val="000000"/>
          <w:sz w:val="20"/>
          <w:szCs w:val="20"/>
          <w:lang w:val="en-GB" w:eastAsia="en-US" w:bidi="en-US"/>
        </w:rPr>
      </w:pPr>
      <w:r w:rsidRPr="000846FD">
        <w:rPr>
          <w:rFonts w:eastAsia="Calibri"/>
          <w:iCs/>
          <w:snapToGrid w:val="0"/>
          <w:color w:val="000000"/>
          <w:sz w:val="20"/>
          <w:szCs w:val="20"/>
          <w:lang w:val="en-GB" w:eastAsia="en-US" w:bidi="en-US"/>
        </w:rPr>
        <w:t xml:space="preserve">Dal Lago B., Biondini F., Toniolo G. (2018) Experimental tests on multiple-slit devices for precast concrete panels. </w:t>
      </w:r>
      <w:r w:rsidRPr="000846FD">
        <w:rPr>
          <w:rFonts w:eastAsia="Calibri"/>
          <w:i/>
          <w:iCs/>
          <w:snapToGrid w:val="0"/>
          <w:color w:val="000000"/>
          <w:sz w:val="20"/>
          <w:szCs w:val="20"/>
          <w:lang w:val="en-GB" w:eastAsia="en-US" w:bidi="en-US"/>
        </w:rPr>
        <w:t>Engineering Structures</w:t>
      </w:r>
      <w:r w:rsidRPr="000846FD">
        <w:rPr>
          <w:rFonts w:eastAsia="Calibri"/>
          <w:iCs/>
          <w:snapToGrid w:val="0"/>
          <w:color w:val="000000"/>
          <w:sz w:val="20"/>
          <w:szCs w:val="20"/>
          <w:lang w:val="en-GB" w:eastAsia="en-US" w:bidi="en-US"/>
        </w:rPr>
        <w:t xml:space="preserve"> (167): 420-430. </w:t>
      </w:r>
    </w:p>
    <w:p w:rsidR="000846FD" w:rsidRPr="000846FD" w:rsidRDefault="000846FD" w:rsidP="000846FD">
      <w:pPr>
        <w:widowControl w:val="0"/>
        <w:spacing w:after="120" w:line="240" w:lineRule="auto"/>
        <w:jc w:val="both"/>
        <w:rPr>
          <w:rFonts w:eastAsia="Calibri"/>
          <w:iCs/>
          <w:snapToGrid w:val="0"/>
          <w:color w:val="000000"/>
          <w:sz w:val="20"/>
          <w:szCs w:val="20"/>
          <w:lang w:val="en-GB" w:eastAsia="en-US" w:bidi="en-US"/>
        </w:rPr>
      </w:pPr>
      <w:r w:rsidRPr="000846FD">
        <w:rPr>
          <w:rFonts w:eastAsia="Calibri"/>
          <w:iCs/>
          <w:snapToGrid w:val="0"/>
          <w:color w:val="000000"/>
          <w:sz w:val="20"/>
          <w:szCs w:val="20"/>
          <w:lang w:val="en-GB" w:eastAsia="en-US" w:bidi="en-US"/>
        </w:rPr>
        <w:t>FIP (2018) Anti-seismic devices product division. http://www.fip-group.it.</w:t>
      </w:r>
    </w:p>
    <w:p w:rsidR="000846FD" w:rsidRPr="000846FD" w:rsidRDefault="000846FD" w:rsidP="000846FD">
      <w:pPr>
        <w:widowControl w:val="0"/>
        <w:spacing w:after="120" w:line="240" w:lineRule="auto"/>
        <w:jc w:val="both"/>
        <w:rPr>
          <w:rFonts w:eastAsia="Calibri"/>
          <w:iCs/>
          <w:snapToGrid w:val="0"/>
          <w:color w:val="000000"/>
          <w:sz w:val="20"/>
          <w:szCs w:val="20"/>
          <w:lang w:val="en-GB" w:eastAsia="en-US" w:bidi="en-US"/>
        </w:rPr>
      </w:pPr>
      <w:r w:rsidRPr="000846FD">
        <w:rPr>
          <w:rFonts w:eastAsia="Calibri"/>
          <w:iCs/>
          <w:snapToGrid w:val="0"/>
          <w:color w:val="000000"/>
          <w:sz w:val="20"/>
          <w:szCs w:val="20"/>
          <w:lang w:val="en-US" w:eastAsia="en-US" w:bidi="en-US"/>
        </w:rPr>
        <w:t xml:space="preserve">Jarret SL (2018) Shock-control technologies. URL </w:t>
      </w:r>
      <w:hyperlink r:id="rId22" w:history="1">
        <w:r w:rsidRPr="000846FD">
          <w:rPr>
            <w:rFonts w:eastAsia="Calibri"/>
            <w:iCs/>
            <w:snapToGrid w:val="0"/>
            <w:color w:val="0000FF"/>
            <w:sz w:val="20"/>
            <w:szCs w:val="20"/>
            <w:u w:val="single"/>
            <w:lang w:val="en-US" w:eastAsia="en-US" w:bidi="en-US"/>
          </w:rPr>
          <w:t>http://www.introini.info</w:t>
        </w:r>
      </w:hyperlink>
      <w:r w:rsidRPr="000846FD">
        <w:rPr>
          <w:rFonts w:eastAsia="Calibri"/>
          <w:iCs/>
          <w:snapToGrid w:val="0"/>
          <w:color w:val="000000"/>
          <w:sz w:val="20"/>
          <w:szCs w:val="20"/>
          <w:lang w:val="en-US" w:eastAsia="en-US" w:bidi="en-US"/>
        </w:rPr>
        <w:t>.</w:t>
      </w:r>
    </w:p>
    <w:p w:rsidR="000846FD" w:rsidRPr="000846FD" w:rsidRDefault="000846FD" w:rsidP="000846FD">
      <w:pPr>
        <w:widowControl w:val="0"/>
        <w:spacing w:after="120" w:line="240" w:lineRule="auto"/>
        <w:jc w:val="both"/>
        <w:rPr>
          <w:rFonts w:eastAsia="Calibri"/>
          <w:iCs/>
          <w:snapToGrid w:val="0"/>
          <w:color w:val="000000"/>
          <w:sz w:val="20"/>
          <w:szCs w:val="20"/>
          <w:lang w:val="en-GB" w:eastAsia="en-US" w:bidi="en-US"/>
        </w:rPr>
      </w:pPr>
      <w:r w:rsidRPr="000846FD">
        <w:rPr>
          <w:rFonts w:eastAsia="Calibri"/>
          <w:iCs/>
          <w:snapToGrid w:val="0"/>
          <w:color w:val="000000"/>
          <w:sz w:val="20"/>
          <w:szCs w:val="20"/>
          <w:lang w:val="en-GB" w:eastAsia="en-US" w:bidi="en-US"/>
        </w:rPr>
        <w:t xml:space="preserve">Martinelli P., Mulas M.G. (2010) An innovative passive control technique for industrial precast frames. </w:t>
      </w:r>
      <w:r w:rsidRPr="000846FD">
        <w:rPr>
          <w:rFonts w:eastAsia="Calibri"/>
          <w:i/>
          <w:iCs/>
          <w:snapToGrid w:val="0"/>
          <w:color w:val="000000"/>
          <w:sz w:val="20"/>
          <w:szCs w:val="20"/>
          <w:lang w:val="en-GB" w:eastAsia="en-US" w:bidi="en-US"/>
        </w:rPr>
        <w:t>Engineering Structures</w:t>
      </w:r>
      <w:r w:rsidRPr="000846FD">
        <w:rPr>
          <w:rFonts w:eastAsia="Calibri"/>
          <w:iCs/>
          <w:snapToGrid w:val="0"/>
          <w:color w:val="000000"/>
          <w:sz w:val="20"/>
          <w:szCs w:val="20"/>
          <w:lang w:val="en-GB" w:eastAsia="en-US" w:bidi="en-US"/>
        </w:rPr>
        <w:t xml:space="preserve"> (32): 1123-1132.</w:t>
      </w:r>
    </w:p>
    <w:p w:rsidR="000846FD" w:rsidRPr="000846FD" w:rsidRDefault="000846FD" w:rsidP="000846FD">
      <w:pPr>
        <w:widowControl w:val="0"/>
        <w:spacing w:after="120" w:line="240" w:lineRule="auto"/>
        <w:jc w:val="both"/>
        <w:rPr>
          <w:rFonts w:eastAsia="Calibri"/>
          <w:snapToGrid w:val="0"/>
          <w:color w:val="000000"/>
          <w:sz w:val="20"/>
          <w:szCs w:val="20"/>
          <w:lang w:val="en-GB" w:eastAsia="en-US" w:bidi="en-US"/>
        </w:rPr>
      </w:pPr>
      <w:r w:rsidRPr="000846FD">
        <w:rPr>
          <w:rFonts w:eastAsia="Calibri"/>
          <w:snapToGrid w:val="0"/>
          <w:color w:val="000000"/>
          <w:sz w:val="20"/>
          <w:szCs w:val="20"/>
          <w:lang w:val="en-GB" w:eastAsia="en-US" w:bidi="en-US"/>
        </w:rPr>
        <w:t xml:space="preserve">Pekcan G., Mander J.B., Chen S.S. (1995) The seismic response of a 1:3 scale model R.C. structure with elastomeric spring dampers. </w:t>
      </w:r>
      <w:r w:rsidRPr="000846FD">
        <w:rPr>
          <w:rFonts w:eastAsia="Calibri"/>
          <w:i/>
          <w:snapToGrid w:val="0"/>
          <w:color w:val="000000"/>
          <w:sz w:val="20"/>
          <w:szCs w:val="20"/>
          <w:lang w:val="en-GB" w:eastAsia="en-US" w:bidi="en-US"/>
        </w:rPr>
        <w:t>Earthquake Spectra</w:t>
      </w:r>
      <w:r w:rsidRPr="000846FD">
        <w:rPr>
          <w:rFonts w:eastAsia="Calibri"/>
          <w:snapToGrid w:val="0"/>
          <w:color w:val="000000"/>
          <w:sz w:val="20"/>
          <w:szCs w:val="20"/>
          <w:lang w:val="en-GB" w:eastAsia="en-US" w:bidi="en-US"/>
        </w:rPr>
        <w:t xml:space="preserve"> (11): 249-267.</w:t>
      </w:r>
    </w:p>
    <w:p w:rsidR="000846FD" w:rsidRPr="000846FD" w:rsidRDefault="000846FD" w:rsidP="000846FD">
      <w:pPr>
        <w:widowControl w:val="0"/>
        <w:spacing w:after="120" w:line="240" w:lineRule="auto"/>
        <w:jc w:val="both"/>
        <w:rPr>
          <w:rFonts w:eastAsia="Calibri"/>
          <w:snapToGrid w:val="0"/>
          <w:color w:val="000000"/>
          <w:sz w:val="20"/>
          <w:szCs w:val="20"/>
          <w:lang w:val="en-US" w:eastAsia="en-US" w:bidi="en-US"/>
        </w:rPr>
      </w:pPr>
      <w:r w:rsidRPr="000846FD">
        <w:rPr>
          <w:rFonts w:eastAsia="Calibri"/>
          <w:bCs/>
          <w:snapToGrid w:val="0"/>
          <w:color w:val="000000"/>
          <w:sz w:val="20"/>
          <w:szCs w:val="20"/>
          <w:lang w:val="en-GB" w:eastAsia="en-US" w:bidi="en-US"/>
        </w:rPr>
        <w:t xml:space="preserve">CSI (2018) SAP2000NL. </w:t>
      </w:r>
      <w:r w:rsidRPr="000846FD">
        <w:rPr>
          <w:rFonts w:eastAsia="Calibri"/>
          <w:bCs/>
          <w:i/>
          <w:snapToGrid w:val="0"/>
          <w:color w:val="000000"/>
          <w:sz w:val="20"/>
          <w:szCs w:val="20"/>
          <w:lang w:val="en-GB" w:eastAsia="en-US" w:bidi="en-US"/>
        </w:rPr>
        <w:t>Theoretical and users’ manual</w:t>
      </w:r>
      <w:r w:rsidRPr="000846FD">
        <w:rPr>
          <w:rFonts w:eastAsia="Calibri"/>
          <w:bCs/>
          <w:snapToGrid w:val="0"/>
          <w:color w:val="000000"/>
          <w:sz w:val="20"/>
          <w:szCs w:val="20"/>
          <w:lang w:val="en-GB" w:eastAsia="en-US" w:bidi="en-US"/>
        </w:rPr>
        <w:t>, Release 20.03. Computers &amp; Structures Inc, Walnut Creek, CA</w:t>
      </w:r>
      <w:r w:rsidRPr="000846FD">
        <w:rPr>
          <w:rFonts w:eastAsia="Calibri"/>
          <w:snapToGrid w:val="0"/>
          <w:color w:val="000000"/>
          <w:sz w:val="20"/>
          <w:szCs w:val="20"/>
          <w:lang w:val="en-US" w:eastAsia="en-US" w:bidi="en-US"/>
        </w:rPr>
        <w:t>.</w:t>
      </w:r>
    </w:p>
    <w:p w:rsidR="000846FD" w:rsidRPr="000846FD" w:rsidRDefault="000846FD" w:rsidP="000846FD">
      <w:pPr>
        <w:widowControl w:val="0"/>
        <w:spacing w:after="120" w:line="240" w:lineRule="auto"/>
        <w:jc w:val="both"/>
        <w:rPr>
          <w:rFonts w:eastAsia="Calibri"/>
          <w:iCs/>
          <w:snapToGrid w:val="0"/>
          <w:color w:val="000000"/>
          <w:sz w:val="20"/>
          <w:szCs w:val="20"/>
          <w:lang w:val="en-GB" w:eastAsia="en-US" w:bidi="en-US"/>
        </w:rPr>
      </w:pPr>
      <w:r w:rsidRPr="000846FD">
        <w:rPr>
          <w:rFonts w:eastAsia="Calibri"/>
          <w:iCs/>
          <w:snapToGrid w:val="0"/>
          <w:color w:val="000000"/>
          <w:sz w:val="20"/>
          <w:szCs w:val="20"/>
          <w:lang w:val="en-GB" w:eastAsia="en-US" w:bidi="en-US"/>
        </w:rPr>
        <w:t xml:space="preserve">Sorace S., Terenzi G. (2001) Non-linear dynamic modelling and design procedure of FV spring-dampers for base isolation. </w:t>
      </w:r>
      <w:r w:rsidRPr="000846FD">
        <w:rPr>
          <w:rFonts w:eastAsia="Calibri"/>
          <w:i/>
          <w:iCs/>
          <w:snapToGrid w:val="0"/>
          <w:color w:val="000000"/>
          <w:sz w:val="20"/>
          <w:szCs w:val="20"/>
          <w:lang w:val="en-GB" w:eastAsia="en-US" w:bidi="en-US"/>
        </w:rPr>
        <w:t>Engineering Structures</w:t>
      </w:r>
      <w:r w:rsidRPr="000846FD">
        <w:rPr>
          <w:rFonts w:eastAsia="Calibri"/>
          <w:iCs/>
          <w:snapToGrid w:val="0"/>
          <w:color w:val="000000"/>
          <w:sz w:val="20"/>
          <w:szCs w:val="20"/>
          <w:lang w:val="en-GB" w:eastAsia="en-US" w:bidi="en-US"/>
        </w:rPr>
        <w:t xml:space="preserve"> (23): 1556-1567.</w:t>
      </w:r>
    </w:p>
    <w:p w:rsidR="000846FD" w:rsidRPr="000846FD" w:rsidRDefault="000846FD" w:rsidP="000846FD">
      <w:pPr>
        <w:widowControl w:val="0"/>
        <w:spacing w:after="120" w:line="240" w:lineRule="auto"/>
        <w:jc w:val="both"/>
        <w:rPr>
          <w:rFonts w:eastAsia="Calibri"/>
          <w:snapToGrid w:val="0"/>
          <w:color w:val="000000"/>
          <w:sz w:val="20"/>
          <w:szCs w:val="20"/>
          <w:lang w:val="en-GB" w:eastAsia="en-US" w:bidi="en-US"/>
        </w:rPr>
      </w:pPr>
      <w:r w:rsidRPr="000846FD">
        <w:rPr>
          <w:rFonts w:eastAsia="Calibri"/>
          <w:snapToGrid w:val="0"/>
          <w:color w:val="000000"/>
          <w:sz w:val="20"/>
          <w:szCs w:val="20"/>
          <w:lang w:val="en-GB" w:eastAsia="en-US" w:bidi="en-US"/>
        </w:rPr>
        <w:t xml:space="preserve">Sorace S., Terenzi G. (2008) Seismic protection of frame structures by fluid viscous damped braces. </w:t>
      </w:r>
      <w:r w:rsidRPr="000846FD">
        <w:rPr>
          <w:rFonts w:eastAsia="Calibri"/>
          <w:i/>
          <w:snapToGrid w:val="0"/>
          <w:color w:val="000000"/>
          <w:sz w:val="20"/>
          <w:szCs w:val="20"/>
          <w:lang w:val="en-GB" w:eastAsia="en-US" w:bidi="en-US"/>
        </w:rPr>
        <w:t>ASCE Journal of Structural Engineering</w:t>
      </w:r>
      <w:r w:rsidRPr="000846FD">
        <w:rPr>
          <w:rFonts w:eastAsia="Calibri"/>
          <w:snapToGrid w:val="0"/>
          <w:color w:val="000000"/>
          <w:sz w:val="20"/>
          <w:szCs w:val="20"/>
          <w:lang w:val="en-GB" w:eastAsia="en-US" w:bidi="en-US"/>
        </w:rPr>
        <w:t xml:space="preserve"> (134): 45-55.</w:t>
      </w:r>
    </w:p>
    <w:p w:rsidR="000846FD" w:rsidRPr="000846FD" w:rsidRDefault="000846FD" w:rsidP="000846FD">
      <w:pPr>
        <w:widowControl w:val="0"/>
        <w:spacing w:after="120" w:line="240" w:lineRule="auto"/>
        <w:jc w:val="both"/>
        <w:rPr>
          <w:rFonts w:eastAsia="Calibri"/>
          <w:iCs/>
          <w:snapToGrid w:val="0"/>
          <w:color w:val="000000"/>
          <w:sz w:val="20"/>
          <w:szCs w:val="20"/>
          <w:lang w:val="en-GB" w:eastAsia="en-US" w:bidi="en-US"/>
        </w:rPr>
      </w:pPr>
      <w:r w:rsidRPr="000846FD">
        <w:rPr>
          <w:rFonts w:eastAsia="Calibri"/>
          <w:iCs/>
          <w:snapToGrid w:val="0"/>
          <w:color w:val="000000"/>
          <w:sz w:val="20"/>
          <w:szCs w:val="20"/>
          <w:lang w:val="en-GB" w:eastAsia="en-US" w:bidi="en-US"/>
        </w:rPr>
        <w:t xml:space="preserve">Sorace S., Terenzi G. (2014a) </w:t>
      </w:r>
      <w:r w:rsidRPr="000846FD">
        <w:rPr>
          <w:rFonts w:eastAsia="Calibri"/>
          <w:bCs/>
          <w:iCs/>
          <w:snapToGrid w:val="0"/>
          <w:color w:val="000000"/>
          <w:sz w:val="20"/>
          <w:szCs w:val="20"/>
          <w:lang w:val="en-GB" w:eastAsia="en-US" w:bidi="en-US"/>
        </w:rPr>
        <w:t xml:space="preserve">Motion control-based seismic retrofit solutions for a R/C school building designed with earlier Technical Standards. </w:t>
      </w:r>
      <w:r w:rsidRPr="000846FD">
        <w:rPr>
          <w:rFonts w:eastAsia="Calibri"/>
          <w:bCs/>
          <w:i/>
          <w:iCs/>
          <w:snapToGrid w:val="0"/>
          <w:color w:val="000000"/>
          <w:sz w:val="20"/>
          <w:szCs w:val="20"/>
          <w:lang w:val="en-GB" w:eastAsia="en-US" w:bidi="en-US"/>
        </w:rPr>
        <w:t>Bulletin of Earthquake Engineering</w:t>
      </w:r>
      <w:r w:rsidRPr="000846FD">
        <w:rPr>
          <w:rFonts w:eastAsia="Calibri"/>
          <w:iCs/>
          <w:snapToGrid w:val="0"/>
          <w:color w:val="000000"/>
          <w:sz w:val="20"/>
          <w:szCs w:val="20"/>
          <w:lang w:val="en-GB" w:eastAsia="en-US" w:bidi="en-US"/>
        </w:rPr>
        <w:t xml:space="preserve"> (</w:t>
      </w:r>
      <w:r w:rsidRPr="000846FD">
        <w:rPr>
          <w:rFonts w:eastAsia="Calibri"/>
          <w:bCs/>
          <w:iCs/>
          <w:snapToGrid w:val="0"/>
          <w:color w:val="000000"/>
          <w:sz w:val="20"/>
          <w:szCs w:val="20"/>
          <w:lang w:val="en-GB" w:eastAsia="en-US" w:bidi="en-US"/>
        </w:rPr>
        <w:t>12): 2723-2744</w:t>
      </w:r>
      <w:r w:rsidRPr="000846FD">
        <w:rPr>
          <w:rFonts w:eastAsia="Calibri"/>
          <w:iCs/>
          <w:snapToGrid w:val="0"/>
          <w:color w:val="000000"/>
          <w:sz w:val="20"/>
          <w:szCs w:val="20"/>
          <w:lang w:val="en-GB" w:eastAsia="en-US" w:bidi="en-US"/>
        </w:rPr>
        <w:t>.</w:t>
      </w:r>
    </w:p>
    <w:p w:rsidR="000846FD" w:rsidRPr="000846FD" w:rsidRDefault="000846FD" w:rsidP="000846FD">
      <w:pPr>
        <w:widowControl w:val="0"/>
        <w:spacing w:after="120" w:line="240" w:lineRule="auto"/>
        <w:jc w:val="both"/>
        <w:rPr>
          <w:rFonts w:eastAsia="Calibri"/>
          <w:iCs/>
          <w:snapToGrid w:val="0"/>
          <w:color w:val="000000"/>
          <w:sz w:val="20"/>
          <w:szCs w:val="20"/>
          <w:lang w:val="en-GB" w:eastAsia="en-US" w:bidi="en-US"/>
        </w:rPr>
      </w:pPr>
      <w:r w:rsidRPr="000846FD">
        <w:rPr>
          <w:rFonts w:eastAsia="Calibri"/>
          <w:iCs/>
          <w:snapToGrid w:val="0"/>
          <w:color w:val="000000"/>
          <w:sz w:val="20"/>
          <w:szCs w:val="20"/>
          <w:lang w:val="en-GB" w:eastAsia="en-US" w:bidi="en-US"/>
        </w:rPr>
        <w:t xml:space="preserve">Sorace S., Terenzi G. (2014b) Analysis, design, and construction of a base-isolated multiple building structure. </w:t>
      </w:r>
      <w:r w:rsidRPr="000846FD">
        <w:rPr>
          <w:rFonts w:eastAsia="Calibri"/>
          <w:i/>
          <w:iCs/>
          <w:snapToGrid w:val="0"/>
          <w:color w:val="000000"/>
          <w:sz w:val="20"/>
          <w:szCs w:val="20"/>
          <w:lang w:val="en-GB" w:eastAsia="en-US" w:bidi="en-US"/>
        </w:rPr>
        <w:t>Advances in Civil Engineering</w:t>
      </w:r>
      <w:r w:rsidRPr="000846FD">
        <w:rPr>
          <w:rFonts w:eastAsia="Calibri"/>
          <w:iCs/>
          <w:snapToGrid w:val="0"/>
          <w:color w:val="000000"/>
          <w:sz w:val="20"/>
          <w:szCs w:val="20"/>
          <w:lang w:val="en-GB" w:eastAsia="en-US" w:bidi="en-US"/>
        </w:rPr>
        <w:t xml:space="preserve"> (2014-Article ID 585429): 1-13.</w:t>
      </w:r>
    </w:p>
    <w:p w:rsidR="000846FD" w:rsidRPr="000846FD" w:rsidRDefault="000846FD" w:rsidP="000846FD">
      <w:pPr>
        <w:widowControl w:val="0"/>
        <w:spacing w:after="120" w:line="240" w:lineRule="auto"/>
        <w:jc w:val="both"/>
        <w:rPr>
          <w:rFonts w:eastAsia="Calibri"/>
          <w:iCs/>
          <w:snapToGrid w:val="0"/>
          <w:color w:val="000000"/>
          <w:sz w:val="20"/>
          <w:szCs w:val="20"/>
          <w:lang w:val="en-GB" w:eastAsia="en-US" w:bidi="en-US"/>
        </w:rPr>
      </w:pPr>
      <w:r w:rsidRPr="000846FD">
        <w:rPr>
          <w:rFonts w:eastAsia="Calibri"/>
          <w:iCs/>
          <w:snapToGrid w:val="0"/>
          <w:color w:val="000000"/>
          <w:sz w:val="20"/>
          <w:szCs w:val="20"/>
          <w:lang w:val="en-GB" w:eastAsia="en-US" w:bidi="en-US"/>
        </w:rPr>
        <w:t xml:space="preserve">Sorace S., Terenzi G. (2015) Seismic performance assessment and base-isolated floor protection of statues exhibited in museum halls. </w:t>
      </w:r>
      <w:r w:rsidRPr="000846FD">
        <w:rPr>
          <w:rFonts w:eastAsia="Calibri"/>
          <w:i/>
          <w:iCs/>
          <w:snapToGrid w:val="0"/>
          <w:color w:val="000000"/>
          <w:sz w:val="20"/>
          <w:szCs w:val="20"/>
          <w:lang w:val="en-GB" w:eastAsia="en-US" w:bidi="en-US"/>
        </w:rPr>
        <w:t>Bulletin of Earthquake Engineering</w:t>
      </w:r>
      <w:r w:rsidRPr="000846FD">
        <w:rPr>
          <w:rFonts w:eastAsia="Calibri"/>
          <w:iCs/>
          <w:snapToGrid w:val="0"/>
          <w:color w:val="000000"/>
          <w:sz w:val="20"/>
          <w:szCs w:val="20"/>
          <w:lang w:val="en-GB" w:eastAsia="en-US" w:bidi="en-US"/>
        </w:rPr>
        <w:t xml:space="preserve"> (13): 1873-1892.</w:t>
      </w:r>
    </w:p>
    <w:p w:rsidR="000846FD" w:rsidRPr="000846FD" w:rsidRDefault="000846FD" w:rsidP="000846FD">
      <w:pPr>
        <w:widowControl w:val="0"/>
        <w:spacing w:after="120" w:line="240" w:lineRule="auto"/>
        <w:jc w:val="both"/>
        <w:rPr>
          <w:rFonts w:eastAsia="Calibri"/>
          <w:iCs/>
          <w:snapToGrid w:val="0"/>
          <w:color w:val="000000"/>
          <w:sz w:val="20"/>
          <w:szCs w:val="20"/>
          <w:lang w:val="en-GB" w:eastAsia="en-US" w:bidi="en-US"/>
        </w:rPr>
      </w:pPr>
      <w:r w:rsidRPr="000846FD">
        <w:rPr>
          <w:rFonts w:eastAsia="Calibri"/>
          <w:iCs/>
          <w:snapToGrid w:val="0"/>
          <w:color w:val="000000"/>
          <w:sz w:val="20"/>
          <w:szCs w:val="20"/>
          <w:lang w:val="en-US" w:eastAsia="it-IT" w:bidi="en-US"/>
        </w:rPr>
        <w:t xml:space="preserve">Sorace S., Terenzi G., Mori C. (2016) Passive energy dissipation-based retrofit strategies for R/C frame water towers. </w:t>
      </w:r>
      <w:r w:rsidRPr="000846FD">
        <w:rPr>
          <w:rFonts w:eastAsia="Calibri"/>
          <w:i/>
          <w:iCs/>
          <w:snapToGrid w:val="0"/>
          <w:color w:val="000000"/>
          <w:sz w:val="20"/>
          <w:szCs w:val="20"/>
          <w:lang w:val="en-US" w:eastAsia="it-IT" w:bidi="en-US"/>
        </w:rPr>
        <w:t>Engineering Structures</w:t>
      </w:r>
      <w:r w:rsidRPr="000846FD">
        <w:rPr>
          <w:rFonts w:eastAsia="Calibri"/>
          <w:iCs/>
          <w:snapToGrid w:val="0"/>
          <w:color w:val="000000"/>
          <w:sz w:val="20"/>
          <w:szCs w:val="20"/>
          <w:lang w:val="en-US" w:eastAsia="it-IT" w:bidi="en-US"/>
        </w:rPr>
        <w:t xml:space="preserve"> (106): 385-398.</w:t>
      </w:r>
    </w:p>
    <w:p w:rsidR="000846FD" w:rsidRPr="000846FD" w:rsidRDefault="000846FD" w:rsidP="000846FD">
      <w:pPr>
        <w:widowControl w:val="0"/>
        <w:spacing w:after="120" w:line="240" w:lineRule="auto"/>
        <w:jc w:val="both"/>
        <w:rPr>
          <w:rFonts w:eastAsia="Calibri"/>
          <w:iCs/>
          <w:snapToGrid w:val="0"/>
          <w:color w:val="000000"/>
          <w:sz w:val="20"/>
          <w:szCs w:val="20"/>
          <w:lang w:val="en-GB" w:eastAsia="en-US" w:bidi="en-US"/>
        </w:rPr>
      </w:pPr>
      <w:r w:rsidRPr="000846FD">
        <w:rPr>
          <w:rFonts w:eastAsia="Calibri"/>
          <w:iCs/>
          <w:snapToGrid w:val="0"/>
          <w:color w:val="000000"/>
          <w:sz w:val="20"/>
          <w:szCs w:val="20"/>
          <w:lang w:val="en-GB" w:eastAsia="en-US" w:bidi="en-US"/>
        </w:rPr>
        <w:t xml:space="preserve">Sorace S., Terenzi G. (2017) Existing prefab R/C industrial buildings: Seismic assessment and supplemental damping-based retrofit. </w:t>
      </w:r>
      <w:r w:rsidRPr="000846FD">
        <w:rPr>
          <w:rFonts w:eastAsia="Calibri"/>
          <w:i/>
          <w:iCs/>
          <w:snapToGrid w:val="0"/>
          <w:color w:val="000000"/>
          <w:sz w:val="20"/>
          <w:szCs w:val="20"/>
          <w:lang w:val="en-GB" w:eastAsia="en-US" w:bidi="en-US"/>
        </w:rPr>
        <w:t xml:space="preserve">Soil Dynamics and Earthquake Engineering </w:t>
      </w:r>
      <w:r w:rsidRPr="000846FD">
        <w:rPr>
          <w:rFonts w:eastAsia="Calibri"/>
          <w:iCs/>
          <w:snapToGrid w:val="0"/>
          <w:color w:val="000000"/>
          <w:sz w:val="20"/>
          <w:szCs w:val="20"/>
          <w:lang w:val="en-GB" w:eastAsia="en-US" w:bidi="en-US"/>
        </w:rPr>
        <w:t>(94): 193-203.</w:t>
      </w:r>
    </w:p>
    <w:p w:rsidR="000846FD" w:rsidRPr="000846FD" w:rsidRDefault="000846FD" w:rsidP="000846FD">
      <w:pPr>
        <w:widowControl w:val="0"/>
        <w:spacing w:after="120" w:line="240" w:lineRule="auto"/>
        <w:jc w:val="both"/>
        <w:rPr>
          <w:rFonts w:eastAsia="Calibri"/>
          <w:snapToGrid w:val="0"/>
          <w:color w:val="000000"/>
          <w:sz w:val="20"/>
          <w:szCs w:val="20"/>
          <w:lang w:val="en-GB" w:eastAsia="en-US" w:bidi="en-US"/>
        </w:rPr>
      </w:pPr>
      <w:r w:rsidRPr="000846FD">
        <w:rPr>
          <w:rFonts w:eastAsia="Calibri"/>
          <w:snapToGrid w:val="0"/>
          <w:color w:val="000000"/>
          <w:sz w:val="20"/>
          <w:szCs w:val="20"/>
          <w:lang w:val="en-GB" w:eastAsia="en-US" w:bidi="en-US"/>
        </w:rPr>
        <w:t xml:space="preserve">Tanner J.A. (2008) Calculating shear friction using an effective coefficient of friction. </w:t>
      </w:r>
      <w:r w:rsidRPr="000846FD">
        <w:rPr>
          <w:rFonts w:eastAsia="Calibri"/>
          <w:i/>
          <w:snapToGrid w:val="0"/>
          <w:color w:val="000000"/>
          <w:sz w:val="20"/>
          <w:szCs w:val="20"/>
          <w:lang w:val="en-GB" w:eastAsia="en-US" w:bidi="en-US"/>
        </w:rPr>
        <w:t xml:space="preserve">PCI Journal </w:t>
      </w:r>
      <w:r w:rsidRPr="000846FD">
        <w:rPr>
          <w:rFonts w:eastAsia="Calibri"/>
          <w:snapToGrid w:val="0"/>
          <w:color w:val="000000"/>
          <w:sz w:val="20"/>
          <w:szCs w:val="20"/>
          <w:lang w:val="en-GB" w:eastAsia="en-US" w:bidi="en-US"/>
        </w:rPr>
        <w:t>2008 (53): 114-120.</w:t>
      </w:r>
    </w:p>
    <w:p w:rsidR="000846FD" w:rsidRPr="000846FD" w:rsidRDefault="000846FD" w:rsidP="000846FD">
      <w:pPr>
        <w:widowControl w:val="0"/>
        <w:spacing w:after="120" w:line="240" w:lineRule="auto"/>
        <w:jc w:val="both"/>
        <w:rPr>
          <w:rFonts w:eastAsia="Calibri"/>
          <w:snapToGrid w:val="0"/>
          <w:color w:val="000000"/>
          <w:sz w:val="20"/>
          <w:szCs w:val="20"/>
          <w:lang w:val="en-US" w:eastAsia="en-US" w:bidi="en-US"/>
        </w:rPr>
      </w:pPr>
      <w:r w:rsidRPr="000846FD">
        <w:rPr>
          <w:rFonts w:eastAsia="Calibri"/>
          <w:snapToGrid w:val="0"/>
          <w:color w:val="000000"/>
          <w:sz w:val="20"/>
          <w:szCs w:val="20"/>
          <w:lang w:val="en-US" w:eastAsia="en-US" w:bidi="en-US"/>
        </w:rPr>
        <w:t>Technical Standards on Constructions. Rome, Italy: Italian Council of Public Works; 2018 [in Italian].</w:t>
      </w:r>
    </w:p>
    <w:p w:rsidR="000846FD" w:rsidRPr="000846FD" w:rsidRDefault="000846FD" w:rsidP="000846FD">
      <w:pPr>
        <w:widowControl w:val="0"/>
        <w:spacing w:after="120" w:line="240" w:lineRule="auto"/>
        <w:jc w:val="both"/>
        <w:rPr>
          <w:rFonts w:eastAsia="Calibri"/>
          <w:snapToGrid w:val="0"/>
          <w:color w:val="000000"/>
          <w:sz w:val="20"/>
          <w:szCs w:val="20"/>
          <w:lang w:val="en-US" w:eastAsia="en-US" w:bidi="en-US"/>
        </w:rPr>
      </w:pPr>
      <w:r w:rsidRPr="000846FD">
        <w:rPr>
          <w:rFonts w:eastAsia="Calibri"/>
          <w:bCs/>
          <w:snapToGrid w:val="0"/>
          <w:color w:val="000000"/>
          <w:sz w:val="20"/>
          <w:szCs w:val="20"/>
          <w:lang w:val="en-US" w:eastAsia="en-US" w:bidi="en-US"/>
        </w:rPr>
        <w:t>Vanmarcke EH, Fenton GA, Heredia-Zavoni E. (1999). SIMQKE-II – Conditioned earthquake ground motion simulator: User's manual, version 2.1. Princeton (USA): Princeton University; URL</w:t>
      </w:r>
      <w:r w:rsidRPr="000846FD">
        <w:rPr>
          <w:rFonts w:eastAsia="Calibri"/>
          <w:snapToGrid w:val="0"/>
          <w:color w:val="000000"/>
          <w:sz w:val="20"/>
          <w:szCs w:val="20"/>
          <w:lang w:val="en-US" w:eastAsia="en-US" w:bidi="en-US"/>
        </w:rPr>
        <w:t xml:space="preserve"> </w:t>
      </w:r>
      <w:hyperlink r:id="rId23" w:history="1">
        <w:r w:rsidRPr="000846FD">
          <w:rPr>
            <w:rFonts w:eastAsia="Calibri"/>
            <w:bCs/>
            <w:snapToGrid w:val="0"/>
            <w:color w:val="0000FF"/>
            <w:sz w:val="20"/>
            <w:szCs w:val="20"/>
            <w:u w:val="single"/>
            <w:lang w:val="en-US" w:eastAsia="en-US" w:bidi="en-US"/>
          </w:rPr>
          <w:t>http://nisee.berkeley.edu/ documents/SW/SIMQKE-II-V2-1.pdf</w:t>
        </w:r>
      </w:hyperlink>
      <w:r w:rsidRPr="000846FD">
        <w:rPr>
          <w:rFonts w:eastAsia="Calibri"/>
          <w:snapToGrid w:val="0"/>
          <w:color w:val="000000"/>
          <w:sz w:val="20"/>
          <w:szCs w:val="20"/>
          <w:lang w:val="en-US" w:eastAsia="en-US" w:bidi="en-US"/>
        </w:rPr>
        <w:t>.</w:t>
      </w:r>
    </w:p>
    <w:p w:rsidR="006B3BBD" w:rsidRPr="000846FD" w:rsidRDefault="006B3BBD" w:rsidP="0013217D">
      <w:pPr>
        <w:spacing w:line="240" w:lineRule="auto"/>
        <w:jc w:val="both"/>
        <w:rPr>
          <w:lang w:val="en-US"/>
        </w:rPr>
      </w:pPr>
    </w:p>
    <w:sectPr w:rsidR="006B3BBD" w:rsidRPr="000846FD" w:rsidSect="000846FD">
      <w:headerReference w:type="default" r:id="rId24"/>
      <w:footerReference w:type="default" r:id="rId25"/>
      <w:headerReference w:type="first" r:id="rId26"/>
      <w:footerReference w:type="first" r:id="rId27"/>
      <w:pgSz w:w="11906" w:h="16838"/>
      <w:pgMar w:top="1418" w:right="1134" w:bottom="1418" w:left="1134" w:header="709" w:footer="709" w:gutter="0"/>
      <w:pgNumType w:start="73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3E51" w:rsidRDefault="00133E51" w:rsidP="0013217D">
      <w:pPr>
        <w:spacing w:after="0" w:line="240" w:lineRule="auto"/>
      </w:pPr>
      <w:r>
        <w:separator/>
      </w:r>
    </w:p>
  </w:endnote>
  <w:endnote w:type="continuationSeparator" w:id="0">
    <w:p w:rsidR="00133E51" w:rsidRDefault="00133E51"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1199440"/>
      <w:docPartObj>
        <w:docPartGallery w:val="Page Numbers (Bottom of Page)"/>
        <w:docPartUnique/>
      </w:docPartObj>
    </w:sdtPr>
    <w:sdtEndPr/>
    <w:sdtContent>
      <w:p w:rsidR="000846FD" w:rsidRDefault="000846FD">
        <w:pPr>
          <w:pStyle w:val="a5"/>
          <w:jc w:val="center"/>
        </w:pPr>
        <w:r>
          <w:fldChar w:fldCharType="begin"/>
        </w:r>
        <w:r>
          <w:instrText>PAGE   \* MERGEFORMAT</w:instrText>
        </w:r>
        <w:r>
          <w:fldChar w:fldCharType="separate"/>
        </w:r>
        <w:r w:rsidR="00AB14C3">
          <w:rPr>
            <w:noProof/>
          </w:rPr>
          <w:t>738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7113"/>
      <w:docPartObj>
        <w:docPartGallery w:val="Page Numbers (Bottom of Page)"/>
        <w:docPartUnique/>
      </w:docPartObj>
    </w:sdtPr>
    <w:sdtEndPr/>
    <w:sdtContent>
      <w:p w:rsidR="000846FD" w:rsidRDefault="000846FD">
        <w:pPr>
          <w:pStyle w:val="a5"/>
          <w:jc w:val="center"/>
        </w:pPr>
        <w:r>
          <w:fldChar w:fldCharType="begin"/>
        </w:r>
        <w:r>
          <w:instrText>PAGE   \* MERGEFORMAT</w:instrText>
        </w:r>
        <w:r>
          <w:fldChar w:fldCharType="separate"/>
        </w:r>
        <w:r w:rsidR="00AB14C3">
          <w:rPr>
            <w:noProof/>
          </w:rPr>
          <w:t>737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3E51" w:rsidRDefault="00133E51" w:rsidP="0013217D">
      <w:pPr>
        <w:spacing w:after="0" w:line="240" w:lineRule="auto"/>
      </w:pPr>
      <w:r>
        <w:separator/>
      </w:r>
    </w:p>
  </w:footnote>
  <w:footnote w:type="continuationSeparator" w:id="0">
    <w:p w:rsidR="00133E51" w:rsidRDefault="00133E51" w:rsidP="0013217D">
      <w:pPr>
        <w:spacing w:after="0" w:line="240" w:lineRule="auto"/>
      </w:pPr>
      <w:r>
        <w:continuationSeparator/>
      </w:r>
    </w:p>
  </w:footnote>
  <w:footnote w:id="1">
    <w:p w:rsidR="000846FD" w:rsidRPr="000846FD" w:rsidRDefault="000846FD" w:rsidP="000846FD">
      <w:pPr>
        <w:pStyle w:val="a9"/>
        <w:rPr>
          <w:lang w:val="en-US"/>
        </w:rPr>
      </w:pPr>
      <w:r>
        <w:rPr>
          <w:rStyle w:val="ad"/>
        </w:rPr>
        <w:footnoteRef/>
      </w:r>
      <w:r w:rsidRPr="000846FD">
        <w:rPr>
          <w:lang w:val="en-US"/>
        </w:rPr>
        <w:t xml:space="preserve">Full Professor, Polytechnic Department of Engineering and Architecture, University of Udine, Vie delle Scienze 206, 33100 Udine, Italy, </w:t>
      </w:r>
      <w:hyperlink r:id="rId1" w:history="1">
        <w:r w:rsidRPr="000846FD">
          <w:rPr>
            <w:rStyle w:val="1"/>
            <w:lang w:val="en-US"/>
          </w:rPr>
          <w:t>stefano.sorace@uniud.it</w:t>
        </w:r>
      </w:hyperlink>
      <w:r w:rsidRPr="000846FD">
        <w:rPr>
          <w:lang w:val="en-US"/>
        </w:rPr>
        <w:t xml:space="preserve">  </w:t>
      </w:r>
    </w:p>
  </w:footnote>
  <w:footnote w:id="2">
    <w:p w:rsidR="000846FD" w:rsidRPr="000846FD" w:rsidRDefault="000846FD" w:rsidP="000846FD">
      <w:pPr>
        <w:pStyle w:val="ab"/>
        <w:rPr>
          <w:lang w:val="en-US"/>
        </w:rPr>
      </w:pPr>
      <w:r>
        <w:rPr>
          <w:rStyle w:val="ad"/>
        </w:rPr>
        <w:footnoteRef/>
      </w:r>
      <w:r w:rsidRPr="000846FD">
        <w:rPr>
          <w:lang w:val="en-US"/>
        </w:rPr>
        <w:t xml:space="preserve">Associate Professor, Department of Civil and Environmental Engineering, Via di Santa Marta 3, 50139 Florence, Italy, </w:t>
      </w:r>
      <w:hyperlink r:id="rId2" w:history="1">
        <w:r w:rsidRPr="000846FD">
          <w:rPr>
            <w:rStyle w:val="1"/>
            <w:lang w:val="en-US"/>
          </w:rPr>
          <w:t>gloria.terenzi@unifi.it</w:t>
        </w:r>
      </w:hyperlink>
      <w:r w:rsidRPr="000846FD">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592B4F06" wp14:editId="6D8391F6">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6FD"/>
    <w:rsid w:val="000544B6"/>
    <w:rsid w:val="000846FD"/>
    <w:rsid w:val="000D7B9B"/>
    <w:rsid w:val="0013217D"/>
    <w:rsid w:val="00133E51"/>
    <w:rsid w:val="00254B4D"/>
    <w:rsid w:val="006323CD"/>
    <w:rsid w:val="006B3BBD"/>
    <w:rsid w:val="0092552E"/>
    <w:rsid w:val="009267EB"/>
    <w:rsid w:val="00AB14C3"/>
    <w:rsid w:val="00BB2547"/>
    <w:rsid w:val="00C261F0"/>
    <w:rsid w:val="00D75F34"/>
    <w:rsid w:val="00E07649"/>
    <w:rsid w:val="00F57981"/>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0846FD"/>
    <w:pPr>
      <w:spacing w:after="0" w:line="240" w:lineRule="auto"/>
    </w:pPr>
    <w:rPr>
      <w:sz w:val="20"/>
      <w:szCs w:val="20"/>
    </w:rPr>
  </w:style>
  <w:style w:type="character" w:customStyle="1" w:styleId="aa">
    <w:name w:val="Текст концевой сноски Знак"/>
    <w:basedOn w:val="a0"/>
    <w:link w:val="a9"/>
    <w:uiPriority w:val="99"/>
    <w:semiHidden/>
    <w:rsid w:val="000846FD"/>
    <w:rPr>
      <w:sz w:val="20"/>
      <w:szCs w:val="20"/>
    </w:rPr>
  </w:style>
  <w:style w:type="paragraph" w:styleId="ab">
    <w:name w:val="footnote text"/>
    <w:basedOn w:val="a"/>
    <w:link w:val="ac"/>
    <w:uiPriority w:val="99"/>
    <w:semiHidden/>
    <w:unhideWhenUsed/>
    <w:rsid w:val="000846FD"/>
    <w:pPr>
      <w:spacing w:after="0" w:line="240" w:lineRule="auto"/>
    </w:pPr>
    <w:rPr>
      <w:sz w:val="20"/>
      <w:szCs w:val="20"/>
    </w:rPr>
  </w:style>
  <w:style w:type="character" w:customStyle="1" w:styleId="ac">
    <w:name w:val="Текст сноски Знак"/>
    <w:basedOn w:val="a0"/>
    <w:link w:val="ab"/>
    <w:uiPriority w:val="99"/>
    <w:semiHidden/>
    <w:rsid w:val="000846FD"/>
    <w:rPr>
      <w:sz w:val="20"/>
      <w:szCs w:val="20"/>
    </w:rPr>
  </w:style>
  <w:style w:type="character" w:styleId="ad">
    <w:name w:val="footnote reference"/>
    <w:basedOn w:val="a0"/>
    <w:semiHidden/>
    <w:rsid w:val="000846FD"/>
    <w:rPr>
      <w:rFonts w:ascii="Times New Roman" w:hAnsi="Times New Roman"/>
      <w:sz w:val="22"/>
      <w:vertAlign w:val="superscript"/>
    </w:rPr>
  </w:style>
  <w:style w:type="character" w:customStyle="1" w:styleId="1">
    <w:name w:val="Гиперссылка1"/>
    <w:basedOn w:val="a0"/>
    <w:rsid w:val="000846FD"/>
    <w:rPr>
      <w:rFonts w:ascii="Times New Roman" w:hAnsi="Times New Roman"/>
      <w:color w:val="0563C1"/>
      <w:sz w:val="22"/>
      <w:u w:val="single"/>
    </w:rPr>
  </w:style>
  <w:style w:type="character" w:styleId="ae">
    <w:name w:val="Hyperlink"/>
    <w:basedOn w:val="a0"/>
    <w:uiPriority w:val="99"/>
    <w:semiHidden/>
    <w:unhideWhenUsed/>
    <w:rsid w:val="000846F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0846FD"/>
    <w:pPr>
      <w:spacing w:after="0" w:line="240" w:lineRule="auto"/>
    </w:pPr>
    <w:rPr>
      <w:sz w:val="20"/>
      <w:szCs w:val="20"/>
    </w:rPr>
  </w:style>
  <w:style w:type="character" w:customStyle="1" w:styleId="aa">
    <w:name w:val="Текст концевой сноски Знак"/>
    <w:basedOn w:val="a0"/>
    <w:link w:val="a9"/>
    <w:uiPriority w:val="99"/>
    <w:semiHidden/>
    <w:rsid w:val="000846FD"/>
    <w:rPr>
      <w:sz w:val="20"/>
      <w:szCs w:val="20"/>
    </w:rPr>
  </w:style>
  <w:style w:type="paragraph" w:styleId="ab">
    <w:name w:val="footnote text"/>
    <w:basedOn w:val="a"/>
    <w:link w:val="ac"/>
    <w:uiPriority w:val="99"/>
    <w:semiHidden/>
    <w:unhideWhenUsed/>
    <w:rsid w:val="000846FD"/>
    <w:pPr>
      <w:spacing w:after="0" w:line="240" w:lineRule="auto"/>
    </w:pPr>
    <w:rPr>
      <w:sz w:val="20"/>
      <w:szCs w:val="20"/>
    </w:rPr>
  </w:style>
  <w:style w:type="character" w:customStyle="1" w:styleId="ac">
    <w:name w:val="Текст сноски Знак"/>
    <w:basedOn w:val="a0"/>
    <w:link w:val="ab"/>
    <w:uiPriority w:val="99"/>
    <w:semiHidden/>
    <w:rsid w:val="000846FD"/>
    <w:rPr>
      <w:sz w:val="20"/>
      <w:szCs w:val="20"/>
    </w:rPr>
  </w:style>
  <w:style w:type="character" w:styleId="ad">
    <w:name w:val="footnote reference"/>
    <w:basedOn w:val="a0"/>
    <w:semiHidden/>
    <w:rsid w:val="000846FD"/>
    <w:rPr>
      <w:rFonts w:ascii="Times New Roman" w:hAnsi="Times New Roman"/>
      <w:sz w:val="22"/>
      <w:vertAlign w:val="superscript"/>
    </w:rPr>
  </w:style>
  <w:style w:type="character" w:customStyle="1" w:styleId="1">
    <w:name w:val="Гиперссылка1"/>
    <w:basedOn w:val="a0"/>
    <w:rsid w:val="000846FD"/>
    <w:rPr>
      <w:rFonts w:ascii="Times New Roman" w:hAnsi="Times New Roman"/>
      <w:color w:val="0563C1"/>
      <w:sz w:val="22"/>
      <w:u w:val="single"/>
    </w:rPr>
  </w:style>
  <w:style w:type="character" w:styleId="ae">
    <w:name w:val="Hyperlink"/>
    <w:basedOn w:val="a0"/>
    <w:uiPriority w:val="99"/>
    <w:semiHidden/>
    <w:unhideWhenUsed/>
    <w:rsid w:val="000846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nisee.berkeley.edu/%20documents/SW/SIMQKE-II-V2-1.pdf" TargetMode="External"/><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hyperlink" Target="http://www.introini.info" TargetMode="External"/><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mailto:gloria.terenzi@unifi.it" TargetMode="External"/><Relationship Id="rId1" Type="http://schemas.openxmlformats.org/officeDocument/2006/relationships/hyperlink" Target="mailto:stefano.sorace@uniu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3</TotalTime>
  <Pages>3</Pages>
  <Words>6087</Words>
  <Characters>34701</Characters>
  <Application>Microsoft Office Word</Application>
  <DocSecurity>0</DocSecurity>
  <Lines>289</Lines>
  <Paragraphs>81</Paragraphs>
  <ScaleCrop>false</ScaleCrop>
  <Company>diakov.net</Company>
  <LinksUpToDate>false</LinksUpToDate>
  <CharactersWithSpaces>40707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3</cp:revision>
  <dcterms:created xsi:type="dcterms:W3CDTF">2020-06-27T18:01:00Z</dcterms:created>
  <dcterms:modified xsi:type="dcterms:W3CDTF">2021-05-12T15:25:00Z</dcterms:modified>
</cp:coreProperties>
</file>