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C3F" w:rsidRPr="001A6C3F" w:rsidRDefault="001A6C3F" w:rsidP="001A6C3F">
      <w:pPr>
        <w:widowControl w:val="0"/>
        <w:spacing w:after="0" w:line="240" w:lineRule="auto"/>
        <w:jc w:val="center"/>
        <w:outlineLvl w:val="0"/>
        <w:rPr>
          <w:rFonts w:eastAsia="Times New Roman"/>
          <w:b/>
          <w:caps/>
          <w:snapToGrid w:val="0"/>
          <w:sz w:val="28"/>
          <w:szCs w:val="24"/>
          <w:lang w:val="en-US"/>
        </w:rPr>
      </w:pPr>
      <w:bookmarkStart w:id="0" w:name="_GoBack"/>
      <w:bookmarkEnd w:id="0"/>
    </w:p>
    <w:p w:rsidR="001A6C3F" w:rsidRPr="001A6C3F" w:rsidRDefault="001A6C3F" w:rsidP="001A6C3F">
      <w:pPr>
        <w:widowControl w:val="0"/>
        <w:spacing w:after="0" w:line="240" w:lineRule="auto"/>
        <w:jc w:val="center"/>
        <w:outlineLvl w:val="0"/>
        <w:rPr>
          <w:rFonts w:eastAsia="Times New Roman"/>
          <w:b/>
          <w:caps/>
          <w:snapToGrid w:val="0"/>
          <w:sz w:val="28"/>
          <w:szCs w:val="24"/>
          <w:lang w:val="en-US"/>
        </w:rPr>
      </w:pPr>
    </w:p>
    <w:p w:rsidR="001A6C3F" w:rsidRPr="001A6C3F" w:rsidRDefault="001A6C3F" w:rsidP="001A6C3F">
      <w:pPr>
        <w:widowControl w:val="0"/>
        <w:spacing w:after="0" w:line="240" w:lineRule="auto"/>
        <w:jc w:val="center"/>
        <w:outlineLvl w:val="0"/>
        <w:rPr>
          <w:rFonts w:eastAsia="Times New Roman"/>
          <w:b/>
          <w:caps/>
          <w:snapToGrid w:val="0"/>
          <w:sz w:val="28"/>
          <w:szCs w:val="24"/>
          <w:lang w:val="en-US" w:eastAsia="en-US"/>
        </w:rPr>
      </w:pPr>
      <w:r w:rsidRPr="001A6C3F">
        <w:rPr>
          <w:rFonts w:eastAsia="Times New Roman"/>
          <w:b/>
          <w:caps/>
          <w:snapToGrid w:val="0"/>
          <w:sz w:val="28"/>
          <w:szCs w:val="24"/>
          <w:lang w:val="en-US" w:eastAsia="en-US"/>
        </w:rPr>
        <w:t>COMPARISON OF MODELING APPROACHES FOR HIGH DAMPING RUBBER BEARINGS</w:t>
      </w:r>
    </w:p>
    <w:p w:rsidR="001A6C3F" w:rsidRPr="001A6C3F" w:rsidRDefault="001A6C3F" w:rsidP="001A6C3F">
      <w:pPr>
        <w:widowControl w:val="0"/>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b/>
          <w:snapToGrid w:val="0"/>
          <w:sz w:val="28"/>
          <w:szCs w:val="28"/>
          <w:lang w:val="en-US" w:eastAsia="en-US"/>
        </w:rPr>
      </w:pPr>
      <w:r w:rsidRPr="001A6C3F">
        <w:rPr>
          <w:rFonts w:eastAsia="Times New Roman"/>
          <w:b/>
          <w:snapToGrid w:val="0"/>
          <w:sz w:val="28"/>
          <w:szCs w:val="28"/>
          <w:lang w:val="en-US" w:eastAsia="en-US"/>
        </w:rPr>
        <w:t xml:space="preserve">DOI </w:t>
      </w:r>
      <w:r w:rsidR="00323B8C">
        <w:rPr>
          <w:rFonts w:eastAsia="Times New Roman"/>
          <w:b/>
          <w:snapToGrid w:val="0"/>
          <w:color w:val="333333"/>
          <w:sz w:val="28"/>
          <w:szCs w:val="28"/>
          <w:shd w:val="clear" w:color="auto" w:fill="FFFFFF"/>
          <w:lang w:val="en-US" w:eastAsia="en-US"/>
        </w:rPr>
        <w:t>10.37153</w:t>
      </w:r>
      <w:r w:rsidRPr="001A6C3F">
        <w:rPr>
          <w:rFonts w:eastAsia="Times New Roman"/>
          <w:b/>
          <w:snapToGrid w:val="0"/>
          <w:color w:val="333333"/>
          <w:sz w:val="28"/>
          <w:szCs w:val="28"/>
          <w:shd w:val="clear" w:color="auto" w:fill="FFFFFF"/>
          <w:lang w:val="en-US" w:eastAsia="en-US"/>
        </w:rPr>
        <w:t>/2686-7974-2019-16-902-909</w:t>
      </w:r>
    </w:p>
    <w:p w:rsidR="001A6C3F" w:rsidRPr="001A6C3F" w:rsidRDefault="001A6C3F" w:rsidP="001A6C3F">
      <w:pPr>
        <w:widowControl w:val="0"/>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uppressAutoHyphens/>
        <w:spacing w:after="0" w:line="240" w:lineRule="auto"/>
        <w:jc w:val="center"/>
        <w:rPr>
          <w:rFonts w:eastAsia="Times New Roman"/>
          <w:szCs w:val="24"/>
          <w:lang w:val="en-US" w:eastAsia="en-US"/>
        </w:rPr>
      </w:pPr>
      <w:r w:rsidRPr="001A6C3F">
        <w:rPr>
          <w:rFonts w:eastAsia="Times New Roman"/>
          <w:szCs w:val="24"/>
          <w:lang w:val="en-US" w:eastAsia="en-US"/>
        </w:rPr>
        <w:t>Ahmet YAKUT</w:t>
      </w:r>
      <w:r w:rsidRPr="001A6C3F">
        <w:rPr>
          <w:rFonts w:eastAsia="Times New Roman"/>
          <w:szCs w:val="24"/>
          <w:vertAlign w:val="superscript"/>
          <w:lang w:val="en-US" w:eastAsia="en-US"/>
        </w:rPr>
        <w:footnoteReference w:id="1"/>
      </w:r>
      <w:r w:rsidRPr="001A6C3F">
        <w:rPr>
          <w:rFonts w:eastAsia="Times New Roman"/>
          <w:szCs w:val="24"/>
          <w:lang w:val="en-US" w:eastAsia="en-US"/>
        </w:rPr>
        <w:t>, Ugurhan AKYUZ</w:t>
      </w:r>
      <w:r w:rsidRPr="001A6C3F">
        <w:rPr>
          <w:rFonts w:eastAsia="Times New Roman"/>
          <w:szCs w:val="24"/>
          <w:vertAlign w:val="superscript"/>
          <w:lang w:val="en-US" w:eastAsia="en-US"/>
        </w:rPr>
        <w:footnoteReference w:id="2"/>
      </w:r>
      <w:r w:rsidRPr="001A6C3F">
        <w:rPr>
          <w:rFonts w:eastAsia="Times New Roman"/>
          <w:szCs w:val="24"/>
          <w:lang w:val="en-US" w:eastAsia="en-US"/>
        </w:rPr>
        <w:t>, Eser CABUK</w:t>
      </w:r>
      <w:r w:rsidRPr="001A6C3F">
        <w:rPr>
          <w:rFonts w:eastAsia="Times New Roman"/>
          <w:szCs w:val="24"/>
          <w:vertAlign w:val="superscript"/>
          <w:lang w:val="en-US" w:eastAsia="en-US"/>
        </w:rPr>
        <w:footnoteReference w:id="3"/>
      </w:r>
      <w:r w:rsidRPr="001A6C3F">
        <w:rPr>
          <w:rFonts w:eastAsia="Times New Roman"/>
          <w:szCs w:val="24"/>
          <w:lang w:val="en-US" w:eastAsia="en-US"/>
        </w:rPr>
        <w:t>, Nobuo MUROTA</w:t>
      </w:r>
      <w:r w:rsidRPr="001A6C3F">
        <w:rPr>
          <w:rFonts w:eastAsia="Times New Roman"/>
          <w:szCs w:val="24"/>
          <w:vertAlign w:val="superscript"/>
          <w:lang w:val="en-US" w:eastAsia="en-US"/>
        </w:rPr>
        <w:footnoteReference w:id="4"/>
      </w:r>
      <w:r w:rsidRPr="001A6C3F">
        <w:rPr>
          <w:rFonts w:eastAsia="Times New Roman"/>
          <w:szCs w:val="24"/>
          <w:lang w:val="en-US" w:eastAsia="en-US"/>
        </w:rPr>
        <w:t>, Shigenobu SUZUKI</w:t>
      </w:r>
      <w:r w:rsidRPr="001A6C3F">
        <w:rPr>
          <w:rFonts w:eastAsia="Times New Roman"/>
          <w:szCs w:val="24"/>
          <w:vertAlign w:val="superscript"/>
          <w:lang w:val="en-US" w:eastAsia="en-US"/>
        </w:rPr>
        <w:footnoteReference w:id="5"/>
      </w:r>
    </w:p>
    <w:p w:rsidR="001A6C3F" w:rsidRPr="001A6C3F" w:rsidRDefault="001A6C3F" w:rsidP="001A6C3F">
      <w:pPr>
        <w:widowControl w:val="0"/>
        <w:tabs>
          <w:tab w:val="left" w:pos="-72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tabs>
          <w:tab w:val="left" w:pos="-72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outlineLvl w:val="0"/>
        <w:rPr>
          <w:rFonts w:eastAsia="Times New Roman"/>
          <w:b/>
          <w:caps/>
          <w:snapToGrid w:val="0"/>
          <w:kern w:val="28"/>
          <w:szCs w:val="24"/>
          <w:lang w:val="en-US" w:eastAsia="en-US"/>
        </w:rPr>
      </w:pPr>
      <w:r w:rsidRPr="001A6C3F">
        <w:rPr>
          <w:rFonts w:eastAsia="Times New Roman"/>
          <w:b/>
          <w:caps/>
          <w:snapToGrid w:val="0"/>
          <w:kern w:val="28"/>
          <w:szCs w:val="24"/>
          <w:lang w:val="en-US" w:eastAsia="en-US"/>
        </w:rPr>
        <w:t>ABSTRACT</w:t>
      </w:r>
    </w:p>
    <w:p w:rsidR="001A6C3F" w:rsidRPr="001A6C3F" w:rsidRDefault="001A6C3F" w:rsidP="001A6C3F">
      <w:pPr>
        <w:widowControl w:val="0"/>
        <w:suppressAutoHyphens/>
        <w:spacing w:after="0" w:line="240" w:lineRule="auto"/>
        <w:jc w:val="both"/>
        <w:rPr>
          <w:rFonts w:eastAsia="Times New Roman"/>
          <w:sz w:val="20"/>
          <w:szCs w:val="24"/>
          <w:lang w:val="en-US" w:eastAsia="en-US"/>
        </w:rPr>
      </w:pPr>
    </w:p>
    <w:p w:rsidR="001A6C3F" w:rsidRPr="001A6C3F" w:rsidRDefault="001A6C3F" w:rsidP="001A6C3F">
      <w:pPr>
        <w:widowControl w:val="0"/>
        <w:suppressAutoHyphens/>
        <w:spacing w:after="0" w:line="240" w:lineRule="auto"/>
        <w:jc w:val="both"/>
        <w:rPr>
          <w:rFonts w:eastAsia="Times New Roman"/>
          <w:sz w:val="20"/>
          <w:szCs w:val="24"/>
          <w:lang w:val="en-US" w:eastAsia="en-US"/>
        </w:rPr>
      </w:pPr>
      <w:r w:rsidRPr="001A6C3F">
        <w:rPr>
          <w:rFonts w:eastAsia="Times New Roman"/>
          <w:sz w:val="20"/>
          <w:szCs w:val="24"/>
          <w:lang w:val="en-US" w:eastAsia="en-US"/>
        </w:rPr>
        <w:t xml:space="preserve">Two approaches were employed to model the High Damping Rubber isolators used in buildings. The first approach is the commonly used multi linear plastic link (MLP) force deformation relationship employed in SAP2000.  The second alternative is the use of high damping rubber isolator link (HDRB) developed by Bridgestone. A 9-story seismically isolated reinforced concrete building was employed where high damping rubber bearings were used as isolators. In order to investigate the influence of force-deformation models on the response, isolators were modeled using the two-models that are described in SAP2000. The building was analyzed under a set of 7 earthquake records scaled to a target spectrum obtained from seismic hazard analysis.  Base shear force transferred to the superstructure, floor accelerations as well as the isolator displacements that are obtained from nonlinear time history analyses of the building were compared for the two modeling approaches. It has been observed that floor accelerations obtained from HDRB model are significantly less than the ones obtained from MLP. The base shear and isolator displacements obtained from the HDR model are in general close to the ones determined from MLP model, the difference being approximately 5-30 percent. This shows that there is a significant influence of isolator modeling on the response. </w:t>
      </w:r>
    </w:p>
    <w:p w:rsidR="001A6C3F" w:rsidRPr="001A6C3F" w:rsidRDefault="001A6C3F" w:rsidP="001A6C3F">
      <w:pPr>
        <w:widowControl w:val="0"/>
        <w:suppressAutoHyphens/>
        <w:spacing w:after="0" w:line="240" w:lineRule="auto"/>
        <w:jc w:val="both"/>
        <w:rPr>
          <w:rFonts w:eastAsia="Times New Roman"/>
          <w:sz w:val="20"/>
          <w:szCs w:val="24"/>
          <w:lang w:val="en-US" w:eastAsia="en-US"/>
        </w:rPr>
      </w:pPr>
    </w:p>
    <w:p w:rsidR="001A6C3F" w:rsidRPr="001A6C3F" w:rsidRDefault="001A6C3F" w:rsidP="001A6C3F">
      <w:pPr>
        <w:widowControl w:val="0"/>
        <w:suppressAutoHyphens/>
        <w:spacing w:after="0" w:line="240" w:lineRule="auto"/>
        <w:jc w:val="both"/>
        <w:rPr>
          <w:rFonts w:eastAsia="Times New Roman"/>
          <w:i/>
          <w:sz w:val="20"/>
          <w:szCs w:val="24"/>
          <w:lang w:val="en-US" w:eastAsia="en-US"/>
        </w:rPr>
      </w:pPr>
      <w:r w:rsidRPr="001A6C3F">
        <w:rPr>
          <w:rFonts w:eastAsia="Times New Roman"/>
          <w:i/>
          <w:sz w:val="20"/>
          <w:szCs w:val="24"/>
          <w:lang w:val="en-US" w:eastAsia="en-US"/>
        </w:rPr>
        <w:t>Keywords: High Damping Rubber isolators, Multi Linear Model, High Damping Model, Seismic Isolation</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6C3F">
        <w:rPr>
          <w:rFonts w:eastAsia="Times New Roman"/>
          <w:b/>
          <w:caps/>
          <w:snapToGrid w:val="0"/>
          <w:szCs w:val="24"/>
          <w:lang w:val="en-US" w:eastAsia="en-US"/>
        </w:rPr>
        <w:t xml:space="preserve">1. INTRODUCTION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In Turkey, seismic isolation applications are recently becoming common among important buildings, bridges, data centers and so on. Friction pendulum systems, lead core rubber bearings and rubber bearings are the most commonly used ones in seismic isolation applications. Therefore, professionals are familiar with the theory and practices of such devices, but have limited experience about high damping rubber  bearings(HDRB). Modeling of these bearings is quite important as the main nonlinearity concentrates in these units. Different modeling approaches are suggested for high damping rubber bearings. The study presented here is carried out to investigate two different modeling of high damping rubber bearings through analysis of a 9 story isolated reinforced concrete building. The comparisons are made in terms of floor accelerations, isolator displacements and base shear forces.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spacing w:after="160" w:line="259" w:lineRule="auto"/>
        <w:rPr>
          <w:rFonts w:eastAsia="Times New Roman"/>
          <w:snapToGrid w:val="0"/>
          <w:szCs w:val="24"/>
          <w:lang w:val="en-US" w:eastAsia="en-US"/>
        </w:rPr>
      </w:pPr>
      <w:r w:rsidRPr="001A6C3F">
        <w:rPr>
          <w:rFonts w:eastAsia="Times New Roman"/>
          <w:snapToGrid w:val="0"/>
          <w:szCs w:val="24"/>
          <w:lang w:val="en-US" w:eastAsia="en-US"/>
        </w:rPr>
        <w:br w:type="page"/>
      </w:r>
    </w:p>
    <w:p w:rsidR="001A6C3F" w:rsidRPr="001A6C3F" w:rsidRDefault="001A6C3F" w:rsidP="001A6C3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A6C3F">
        <w:rPr>
          <w:rFonts w:eastAsia="Times New Roman"/>
          <w:b/>
          <w:i/>
          <w:snapToGrid w:val="0"/>
          <w:szCs w:val="24"/>
          <w:lang w:val="en-US" w:eastAsia="en-US"/>
        </w:rPr>
        <w:lastRenderedPageBreak/>
        <w:t>1.1 Properties of the building and the site</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One of the blocks of a real hospital building located in Isparta, Turkey that was designed as seismically isolated was employed for this study. The hospital has a bed capacity of 775 which has been in service since 2017. The structural system of the building is composed of reinforced concrete shear wall and frame elements. The fixed base period of the building has been calculated as 1.57 seconds in x-direction. A total of 118 high damping isolators were used at the level above the basement floor as shown in Figures 1 and 2 where the isolation level plan and the model of the building are given, respectively. The circles shown in the plan indicate the location of isolators.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Cs w:val="24"/>
          <w:lang w:val="en-US" w:eastAsia="en-US"/>
        </w:rPr>
      </w:pPr>
      <w:r w:rsidRPr="001A6C3F">
        <w:rPr>
          <w:rFonts w:eastAsia="Times New Roman"/>
          <w:noProof/>
          <w:snapToGrid w:val="0"/>
          <w:szCs w:val="24"/>
        </w:rPr>
        <w:drawing>
          <wp:inline distT="0" distB="0" distL="0" distR="0" wp14:anchorId="49595875" wp14:editId="03A35DF2">
            <wp:extent cx="4030103" cy="2574951"/>
            <wp:effectExtent l="19050" t="0" r="8497" b="0"/>
            <wp:docPr id="3" name="Picture 9" descr="Isolat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or Plan.JPG"/>
                    <pic:cNvPicPr/>
                  </pic:nvPicPr>
                  <pic:blipFill>
                    <a:blip r:embed="rId7" cstate="print"/>
                    <a:stretch>
                      <a:fillRect/>
                    </a:stretch>
                  </pic:blipFill>
                  <pic:spPr>
                    <a:xfrm>
                      <a:off x="0" y="0"/>
                      <a:ext cx="4033375" cy="2577041"/>
                    </a:xfrm>
                    <a:prstGeom prst="rect">
                      <a:avLst/>
                    </a:prstGeom>
                  </pic:spPr>
                </pic:pic>
              </a:graphicData>
            </a:graphic>
          </wp:inline>
        </w:drawing>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1. Plan of the Building at Isolation Level (circles show isolator locations)</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Cs w:val="24"/>
          <w:lang w:val="en-US" w:eastAsia="en-US"/>
        </w:rPr>
      </w:pPr>
      <w:r w:rsidRPr="001A6C3F">
        <w:rPr>
          <w:rFonts w:eastAsia="Times New Roman"/>
          <w:noProof/>
          <w:snapToGrid w:val="0"/>
          <w:szCs w:val="24"/>
        </w:rPr>
        <w:drawing>
          <wp:inline distT="0" distB="0" distL="0" distR="0" wp14:anchorId="2D57AD6F" wp14:editId="17A54EB9">
            <wp:extent cx="3777538" cy="2813360"/>
            <wp:effectExtent l="19050" t="0" r="0" b="0"/>
            <wp:docPr id="4" name="Picture 8" descr="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JPG"/>
                    <pic:cNvPicPr/>
                  </pic:nvPicPr>
                  <pic:blipFill>
                    <a:blip r:embed="rId8" cstate="print"/>
                    <a:stretch>
                      <a:fillRect/>
                    </a:stretch>
                  </pic:blipFill>
                  <pic:spPr>
                    <a:xfrm>
                      <a:off x="0" y="0"/>
                      <a:ext cx="3777292" cy="2813177"/>
                    </a:xfrm>
                    <a:prstGeom prst="rect">
                      <a:avLst/>
                    </a:prstGeom>
                  </pic:spPr>
                </pic:pic>
              </a:graphicData>
            </a:graphic>
          </wp:inline>
        </w:drawing>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2. Three dimensional model of the building</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Site specific seismic hazard analysis was conducted to determine the target spectra for Design Basis Earthquake (DBE) and Maximum  Considered Earthquake (MCE) ground motion levels. Among the faults that influence the significant seismicity in Isparta, Fethiye-Burdur fault that is at a distance of approximately 25 km to the site was found to produce the largest contribution to seismic hazard. It is worth noting that an earthquake with a magnitude of 6.9 occurred in Burdur in 1914. The target spectra for DBE and MCE </w:t>
      </w:r>
      <w:r w:rsidRPr="001A6C3F">
        <w:rPr>
          <w:rFonts w:eastAsia="Times New Roman"/>
          <w:snapToGrid w:val="0"/>
          <w:szCs w:val="24"/>
          <w:lang w:val="en-US" w:eastAsia="en-US"/>
        </w:rPr>
        <w:lastRenderedPageBreak/>
        <w:t xml:space="preserve">earthquake levels are shown in Figure 3.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Cs w:val="24"/>
          <w:lang w:val="en-US" w:eastAsia="en-US"/>
        </w:rPr>
      </w:pPr>
      <w:r w:rsidRPr="001A6C3F">
        <w:rPr>
          <w:rFonts w:eastAsia="Times New Roman"/>
          <w:noProof/>
          <w:snapToGrid w:val="0"/>
          <w:szCs w:val="24"/>
        </w:rPr>
        <w:drawing>
          <wp:inline distT="0" distB="0" distL="0" distR="0" wp14:anchorId="3BC9C90D" wp14:editId="4732DA41">
            <wp:extent cx="5877001" cy="2494191"/>
            <wp:effectExtent l="19050" t="0" r="944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78661" cy="2494895"/>
                    </a:xfrm>
                    <a:prstGeom prst="rect">
                      <a:avLst/>
                    </a:prstGeom>
                    <a:noFill/>
                    <a:ln w="9525">
                      <a:noFill/>
                      <a:miter lim="800000"/>
                      <a:headEnd/>
                      <a:tailEnd/>
                    </a:ln>
                  </pic:spPr>
                </pic:pic>
              </a:graphicData>
            </a:graphic>
          </wp:inline>
        </w:drawing>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3. Target and Mean response spectra for the Site</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Seven real ground motion records were selected from ground motion database of Pacific Earthquake Engineering Research (PEER) that are scaled to match the target spectra. The list of selected ground motion records for DBE and MCE are given in Table 1. The comparisons of average scaled spectra and the target spectra are shown in Figure 3.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Table 1. Ground motion records used in the analysis.</w:t>
      </w:r>
    </w:p>
    <w:p w:rsidR="001A6C3F" w:rsidRPr="001A6C3F" w:rsidRDefault="001A6C3F" w:rsidP="001A6C3F">
      <w:pPr>
        <w:widowControl w:val="0"/>
        <w:spacing w:after="0" w:line="240" w:lineRule="auto"/>
        <w:jc w:val="both"/>
        <w:rPr>
          <w:rFonts w:eastAsia="Times New Roman"/>
          <w:snapToGrid w:val="0"/>
          <w:szCs w:val="24"/>
          <w:lang w:val="en-US" w:eastAsia="en-US"/>
        </w:rPr>
      </w:pPr>
    </w:p>
    <w:tbl>
      <w:tblPr>
        <w:tblStyle w:val="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6"/>
        <w:gridCol w:w="1339"/>
        <w:gridCol w:w="729"/>
        <w:gridCol w:w="1177"/>
        <w:gridCol w:w="1242"/>
        <w:gridCol w:w="1303"/>
        <w:gridCol w:w="743"/>
        <w:gridCol w:w="918"/>
        <w:gridCol w:w="718"/>
        <w:gridCol w:w="769"/>
      </w:tblGrid>
      <w:tr w:rsidR="001A6C3F" w:rsidRPr="001A6C3F" w:rsidTr="00FF5A90">
        <w:tc>
          <w:tcPr>
            <w:tcW w:w="916"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Record ID</w:t>
            </w:r>
          </w:p>
        </w:tc>
        <w:tc>
          <w:tcPr>
            <w:tcW w:w="1341"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Earthquake Name</w:t>
            </w:r>
          </w:p>
        </w:tc>
        <w:tc>
          <w:tcPr>
            <w:tcW w:w="731"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Year</w:t>
            </w:r>
          </w:p>
        </w:tc>
        <w:tc>
          <w:tcPr>
            <w:tcW w:w="1178"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Station Name</w:t>
            </w:r>
          </w:p>
        </w:tc>
        <w:tc>
          <w:tcPr>
            <w:tcW w:w="1243"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Magnitude</w:t>
            </w:r>
          </w:p>
        </w:tc>
        <w:tc>
          <w:tcPr>
            <w:tcW w:w="1304"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Mechanism</w:t>
            </w:r>
          </w:p>
        </w:tc>
        <w:tc>
          <w:tcPr>
            <w:tcW w:w="744"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Rjb (km)</w:t>
            </w:r>
          </w:p>
        </w:tc>
        <w:tc>
          <w:tcPr>
            <w:tcW w:w="904" w:type="dxa"/>
            <w:vMerge w:val="restart"/>
            <w:vAlign w:val="center"/>
          </w:tcPr>
          <w:p w:rsidR="001A6C3F" w:rsidRPr="001A6C3F" w:rsidRDefault="001A6C3F" w:rsidP="001A6C3F">
            <w:pPr>
              <w:widowControl w:val="0"/>
              <w:jc w:val="center"/>
              <w:rPr>
                <w:b/>
                <w:bCs/>
                <w:snapToGrid w:val="0"/>
                <w:color w:val="000000"/>
                <w:szCs w:val="24"/>
                <w:lang w:val="en-US"/>
              </w:rPr>
            </w:pPr>
            <w:r w:rsidRPr="001A6C3F">
              <w:rPr>
                <w:b/>
                <w:bCs/>
                <w:snapToGrid w:val="0"/>
                <w:color w:val="000000"/>
                <w:szCs w:val="24"/>
                <w:lang w:val="en-US"/>
              </w:rPr>
              <w:t xml:space="preserve"> Vs30 (m/sec)</w:t>
            </w:r>
          </w:p>
        </w:tc>
        <w:tc>
          <w:tcPr>
            <w:tcW w:w="1493" w:type="dxa"/>
            <w:gridSpan w:val="2"/>
          </w:tcPr>
          <w:p w:rsidR="001A6C3F" w:rsidRPr="001A6C3F" w:rsidRDefault="001A6C3F" w:rsidP="001A6C3F">
            <w:pPr>
              <w:widowControl w:val="0"/>
              <w:jc w:val="both"/>
              <w:rPr>
                <w:b/>
                <w:snapToGrid w:val="0"/>
                <w:szCs w:val="24"/>
                <w:lang w:val="en-US"/>
              </w:rPr>
            </w:pPr>
            <w:r w:rsidRPr="001A6C3F">
              <w:rPr>
                <w:b/>
                <w:snapToGrid w:val="0"/>
                <w:szCs w:val="24"/>
                <w:lang w:val="en-US"/>
              </w:rPr>
              <w:t>Scale Factors</w:t>
            </w:r>
          </w:p>
        </w:tc>
      </w:tr>
      <w:tr w:rsidR="001A6C3F" w:rsidRPr="001A6C3F" w:rsidTr="00FF5A90">
        <w:tc>
          <w:tcPr>
            <w:tcW w:w="916" w:type="dxa"/>
            <w:vMerge/>
          </w:tcPr>
          <w:p w:rsidR="001A6C3F" w:rsidRPr="001A6C3F" w:rsidRDefault="001A6C3F" w:rsidP="001A6C3F">
            <w:pPr>
              <w:widowControl w:val="0"/>
              <w:jc w:val="both"/>
              <w:rPr>
                <w:snapToGrid w:val="0"/>
                <w:szCs w:val="24"/>
                <w:lang w:val="en-US"/>
              </w:rPr>
            </w:pPr>
          </w:p>
        </w:tc>
        <w:tc>
          <w:tcPr>
            <w:tcW w:w="1341" w:type="dxa"/>
            <w:vMerge/>
          </w:tcPr>
          <w:p w:rsidR="001A6C3F" w:rsidRPr="001A6C3F" w:rsidRDefault="001A6C3F" w:rsidP="001A6C3F">
            <w:pPr>
              <w:widowControl w:val="0"/>
              <w:jc w:val="both"/>
              <w:rPr>
                <w:snapToGrid w:val="0"/>
                <w:szCs w:val="24"/>
                <w:lang w:val="en-US"/>
              </w:rPr>
            </w:pPr>
          </w:p>
        </w:tc>
        <w:tc>
          <w:tcPr>
            <w:tcW w:w="731" w:type="dxa"/>
            <w:vMerge/>
          </w:tcPr>
          <w:p w:rsidR="001A6C3F" w:rsidRPr="001A6C3F" w:rsidRDefault="001A6C3F" w:rsidP="001A6C3F">
            <w:pPr>
              <w:widowControl w:val="0"/>
              <w:jc w:val="both"/>
              <w:rPr>
                <w:snapToGrid w:val="0"/>
                <w:szCs w:val="24"/>
                <w:lang w:val="en-US"/>
              </w:rPr>
            </w:pPr>
          </w:p>
        </w:tc>
        <w:tc>
          <w:tcPr>
            <w:tcW w:w="1178" w:type="dxa"/>
            <w:vMerge/>
          </w:tcPr>
          <w:p w:rsidR="001A6C3F" w:rsidRPr="001A6C3F" w:rsidRDefault="001A6C3F" w:rsidP="001A6C3F">
            <w:pPr>
              <w:widowControl w:val="0"/>
              <w:jc w:val="both"/>
              <w:rPr>
                <w:snapToGrid w:val="0"/>
                <w:szCs w:val="24"/>
                <w:lang w:val="en-US"/>
              </w:rPr>
            </w:pPr>
          </w:p>
        </w:tc>
        <w:tc>
          <w:tcPr>
            <w:tcW w:w="1243" w:type="dxa"/>
            <w:vMerge/>
          </w:tcPr>
          <w:p w:rsidR="001A6C3F" w:rsidRPr="001A6C3F" w:rsidRDefault="001A6C3F" w:rsidP="001A6C3F">
            <w:pPr>
              <w:widowControl w:val="0"/>
              <w:jc w:val="both"/>
              <w:rPr>
                <w:snapToGrid w:val="0"/>
                <w:szCs w:val="24"/>
                <w:lang w:val="en-US"/>
              </w:rPr>
            </w:pPr>
          </w:p>
        </w:tc>
        <w:tc>
          <w:tcPr>
            <w:tcW w:w="1304" w:type="dxa"/>
            <w:vMerge/>
          </w:tcPr>
          <w:p w:rsidR="001A6C3F" w:rsidRPr="001A6C3F" w:rsidRDefault="001A6C3F" w:rsidP="001A6C3F">
            <w:pPr>
              <w:widowControl w:val="0"/>
              <w:jc w:val="both"/>
              <w:rPr>
                <w:snapToGrid w:val="0"/>
                <w:szCs w:val="24"/>
                <w:lang w:val="en-US"/>
              </w:rPr>
            </w:pPr>
          </w:p>
        </w:tc>
        <w:tc>
          <w:tcPr>
            <w:tcW w:w="744" w:type="dxa"/>
            <w:vMerge/>
          </w:tcPr>
          <w:p w:rsidR="001A6C3F" w:rsidRPr="001A6C3F" w:rsidRDefault="001A6C3F" w:rsidP="001A6C3F">
            <w:pPr>
              <w:widowControl w:val="0"/>
              <w:jc w:val="both"/>
              <w:rPr>
                <w:snapToGrid w:val="0"/>
                <w:szCs w:val="24"/>
                <w:lang w:val="en-US"/>
              </w:rPr>
            </w:pPr>
          </w:p>
        </w:tc>
        <w:tc>
          <w:tcPr>
            <w:tcW w:w="904" w:type="dxa"/>
            <w:vMerge/>
          </w:tcPr>
          <w:p w:rsidR="001A6C3F" w:rsidRPr="001A6C3F" w:rsidRDefault="001A6C3F" w:rsidP="001A6C3F">
            <w:pPr>
              <w:widowControl w:val="0"/>
              <w:jc w:val="both"/>
              <w:rPr>
                <w:snapToGrid w:val="0"/>
                <w:szCs w:val="24"/>
                <w:lang w:val="en-US"/>
              </w:rPr>
            </w:pPr>
          </w:p>
        </w:tc>
        <w:tc>
          <w:tcPr>
            <w:tcW w:w="721" w:type="dxa"/>
          </w:tcPr>
          <w:p w:rsidR="001A6C3F" w:rsidRPr="001A6C3F" w:rsidRDefault="001A6C3F" w:rsidP="001A6C3F">
            <w:pPr>
              <w:widowControl w:val="0"/>
              <w:jc w:val="both"/>
              <w:rPr>
                <w:b/>
                <w:snapToGrid w:val="0"/>
                <w:szCs w:val="24"/>
                <w:lang w:val="en-US"/>
              </w:rPr>
            </w:pPr>
            <w:r w:rsidRPr="001A6C3F">
              <w:rPr>
                <w:b/>
                <w:snapToGrid w:val="0"/>
                <w:szCs w:val="24"/>
                <w:lang w:val="en-US"/>
              </w:rPr>
              <w:t>DBE</w:t>
            </w:r>
          </w:p>
        </w:tc>
        <w:tc>
          <w:tcPr>
            <w:tcW w:w="772" w:type="dxa"/>
          </w:tcPr>
          <w:p w:rsidR="001A6C3F" w:rsidRPr="001A6C3F" w:rsidRDefault="001A6C3F" w:rsidP="001A6C3F">
            <w:pPr>
              <w:widowControl w:val="0"/>
              <w:jc w:val="both"/>
              <w:rPr>
                <w:b/>
                <w:snapToGrid w:val="0"/>
                <w:szCs w:val="24"/>
                <w:lang w:val="en-US"/>
              </w:rPr>
            </w:pPr>
            <w:r w:rsidRPr="001A6C3F">
              <w:rPr>
                <w:b/>
                <w:snapToGrid w:val="0"/>
                <w:szCs w:val="24"/>
                <w:lang w:val="en-US"/>
              </w:rPr>
              <w:t>MCE</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777</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"Loma Prieta"</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1989</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"Hollister City Hall"</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6.93</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Reverse Oblique</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27.33</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198.77</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0.96</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2.28</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821</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"Erzican_ Turkey"</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1992</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"Erzincan"</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6.69</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0.0</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352.05</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0.92</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1.33</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1116</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"Kobe_ Japan"</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1995</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"Shin-Osaka"</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6.9</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19.14</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256.0</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1.97</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4.63</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1158</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"Kocaeli_ Turkey"</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1999</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"Duzce"</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7.51</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13.6</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281.86</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1.15</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1.87</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1165</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"Kocaeli_ Turkey"</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1999</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"Izmit"</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7.51</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3.62</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811.0</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1.97</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3.12</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1605</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"Duzce_ Turkey"</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1999</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"Duzce"</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7.14</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0.0</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281.86</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0.85</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1.21</w:t>
            </w:r>
          </w:p>
        </w:tc>
      </w:tr>
      <w:tr w:rsidR="001A6C3F" w:rsidRPr="001A6C3F" w:rsidTr="00FF5A90">
        <w:tc>
          <w:tcPr>
            <w:tcW w:w="916"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1787</w:t>
            </w:r>
          </w:p>
        </w:tc>
        <w:tc>
          <w:tcPr>
            <w:tcW w:w="134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"Hector Mine"</w:t>
            </w:r>
          </w:p>
        </w:tc>
        <w:tc>
          <w:tcPr>
            <w:tcW w:w="73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1999</w:t>
            </w:r>
          </w:p>
        </w:tc>
        <w:tc>
          <w:tcPr>
            <w:tcW w:w="1178"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"Hector"</w:t>
            </w:r>
          </w:p>
        </w:tc>
        <w:tc>
          <w:tcPr>
            <w:tcW w:w="1243"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7.13</w:t>
            </w:r>
          </w:p>
        </w:tc>
        <w:tc>
          <w:tcPr>
            <w:tcW w:w="13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strike slip</w:t>
            </w:r>
          </w:p>
        </w:tc>
        <w:tc>
          <w:tcPr>
            <w:tcW w:w="74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10.35</w:t>
            </w:r>
          </w:p>
        </w:tc>
        <w:tc>
          <w:tcPr>
            <w:tcW w:w="904"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 xml:space="preserve"> 726.0</w:t>
            </w:r>
          </w:p>
        </w:tc>
        <w:tc>
          <w:tcPr>
            <w:tcW w:w="721"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1.69</w:t>
            </w:r>
          </w:p>
        </w:tc>
        <w:tc>
          <w:tcPr>
            <w:tcW w:w="772" w:type="dxa"/>
            <w:vAlign w:val="center"/>
          </w:tcPr>
          <w:p w:rsidR="001A6C3F" w:rsidRPr="001A6C3F" w:rsidRDefault="001A6C3F" w:rsidP="001A6C3F">
            <w:pPr>
              <w:widowControl w:val="0"/>
              <w:jc w:val="center"/>
              <w:rPr>
                <w:snapToGrid w:val="0"/>
                <w:color w:val="000000"/>
                <w:szCs w:val="24"/>
                <w:lang w:val="en-US"/>
              </w:rPr>
            </w:pPr>
            <w:r w:rsidRPr="001A6C3F">
              <w:rPr>
                <w:snapToGrid w:val="0"/>
                <w:color w:val="000000"/>
                <w:szCs w:val="24"/>
                <w:lang w:val="en-US"/>
              </w:rPr>
              <w:t>4.40</w:t>
            </w:r>
          </w:p>
        </w:tc>
      </w:tr>
    </w:tbl>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A6C3F">
        <w:rPr>
          <w:rFonts w:eastAsia="Times New Roman"/>
          <w:b/>
          <w:i/>
          <w:snapToGrid w:val="0"/>
          <w:szCs w:val="24"/>
          <w:lang w:val="en-US" w:eastAsia="en-US"/>
        </w:rPr>
        <w:t>1.2 Seismic Isolation Design</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High damping rubber bearings were used in the isolation of the Building. The total of 118 isolators were grouped into five types based on their vertical load capacity. Each type of isolator has basically different diameter. The high damping rubber compound used for isolator is common in all types. The displacement capacity of the isolators for DBE and MCE were determined as 20 cm and 50 cm, respectively, which corresponds to the approximate shear strain of 100% and 250%. Table 2 lists the general properties of isolators used in this building.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lastRenderedPageBreak/>
        <w:t>Table 2. Properties of HDR bearings.</w:t>
      </w:r>
    </w:p>
    <w:p w:rsidR="001A6C3F" w:rsidRPr="001A6C3F" w:rsidRDefault="001A6C3F" w:rsidP="001A6C3F">
      <w:pPr>
        <w:widowControl w:val="0"/>
        <w:spacing w:after="0" w:line="240" w:lineRule="auto"/>
        <w:jc w:val="both"/>
        <w:rPr>
          <w:rFonts w:eastAsia="Times New Roman"/>
          <w:snapToGrid w:val="0"/>
          <w:szCs w:val="24"/>
          <w:lang w:val="en-US" w:eastAsia="en-US"/>
        </w:rPr>
      </w:pPr>
    </w:p>
    <w:tbl>
      <w:tblPr>
        <w:tblStyle w:val="LightShading1"/>
        <w:tblW w:w="0" w:type="auto"/>
        <w:tblLook w:val="04A0" w:firstRow="1" w:lastRow="0" w:firstColumn="1" w:lastColumn="0" w:noHBand="0" w:noVBand="1"/>
      </w:tblPr>
      <w:tblGrid>
        <w:gridCol w:w="3510"/>
        <w:gridCol w:w="993"/>
        <w:gridCol w:w="1134"/>
        <w:gridCol w:w="1134"/>
        <w:gridCol w:w="1134"/>
        <w:gridCol w:w="1134"/>
      </w:tblGrid>
      <w:tr w:rsidR="001A6C3F" w:rsidRPr="001A6C3F" w:rsidTr="00FF5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Property</w:t>
            </w:r>
          </w:p>
        </w:tc>
        <w:tc>
          <w:tcPr>
            <w:tcW w:w="993"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Type1</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Type2</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Type3</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Type4</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Type5</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000000"/>
              <w:bottom w:val="single" w:sz="4" w:space="0" w:color="auto"/>
            </w:tcBorders>
            <w:shd w:val="clear" w:color="auto" w:fill="auto"/>
          </w:tcPr>
          <w:p w:rsidR="001A6C3F" w:rsidRPr="001A6C3F" w:rsidRDefault="001A6C3F" w:rsidP="001A6C3F">
            <w:pPr>
              <w:widowControl w:val="0"/>
              <w:jc w:val="both"/>
              <w:rPr>
                <w:snapToGrid w:val="0"/>
                <w:szCs w:val="24"/>
                <w:lang w:val="en-US" w:eastAsia="ja-JP"/>
              </w:rPr>
            </w:pPr>
            <w:r w:rsidRPr="001A6C3F">
              <w:rPr>
                <w:rFonts w:hint="eastAsia"/>
                <w:snapToGrid w:val="0"/>
                <w:szCs w:val="24"/>
                <w:lang w:val="en-US" w:eastAsia="ja-JP"/>
              </w:rPr>
              <w:t xml:space="preserve">Outer </w:t>
            </w:r>
            <w:r w:rsidRPr="001A6C3F">
              <w:rPr>
                <w:snapToGrid w:val="0"/>
                <w:szCs w:val="24"/>
                <w:lang w:val="en-US" w:eastAsia="ja-JP"/>
              </w:rPr>
              <w:t>d</w:t>
            </w:r>
            <w:r w:rsidRPr="001A6C3F">
              <w:rPr>
                <w:rFonts w:hint="eastAsia"/>
                <w:snapToGrid w:val="0"/>
                <w:szCs w:val="24"/>
                <w:lang w:val="en-US" w:eastAsia="ja-JP"/>
              </w:rPr>
              <w:t>iameter (mm)</w:t>
            </w:r>
          </w:p>
        </w:tc>
        <w:tc>
          <w:tcPr>
            <w:tcW w:w="993"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800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1000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1200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1400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1500</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000000"/>
              <w:bottom w:val="single" w:sz="4" w:space="0" w:color="auto"/>
            </w:tcBorders>
            <w:shd w:val="clear" w:color="auto" w:fill="auto"/>
          </w:tcPr>
          <w:p w:rsidR="001A6C3F" w:rsidRPr="001A6C3F" w:rsidRDefault="001A6C3F" w:rsidP="001A6C3F">
            <w:pPr>
              <w:widowControl w:val="0"/>
              <w:jc w:val="both"/>
              <w:rPr>
                <w:snapToGrid w:val="0"/>
                <w:szCs w:val="24"/>
                <w:lang w:val="en-US" w:eastAsia="ja-JP"/>
              </w:rPr>
            </w:pPr>
            <w:r w:rsidRPr="001A6C3F">
              <w:rPr>
                <w:rFonts w:hint="eastAsia"/>
                <w:snapToGrid w:val="0"/>
                <w:szCs w:val="24"/>
                <w:lang w:val="en-US" w:eastAsia="ja-JP"/>
              </w:rPr>
              <w:t>Inner diameter (mm)</w:t>
            </w:r>
          </w:p>
        </w:tc>
        <w:tc>
          <w:tcPr>
            <w:tcW w:w="993"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20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25</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55</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65</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65</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000000"/>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Effective plane area (mm2)</w:t>
            </w:r>
          </w:p>
        </w:tc>
        <w:tc>
          <w:tcPr>
            <w:tcW w:w="993"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502300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784900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1128600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1536100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1763800</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Thickness of one rubber layer (mm)</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5.4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6.7</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9.5</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100</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Total rubber thickness (mm)</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201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200</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First shape factor</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36.1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36.4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35.8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35.1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35.9</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Second shape factor</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4.98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7.02</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7.5</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Thickness of reinforcing steel plate (mm)</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5.8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5.8</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eastAsia="ja-JP"/>
              </w:rPr>
            </w:pPr>
            <w:r w:rsidRPr="001A6C3F">
              <w:rPr>
                <w:rFonts w:hint="eastAsia"/>
                <w:snapToGrid w:val="0"/>
                <w:szCs w:val="24"/>
                <w:lang w:val="en-US" w:eastAsia="ja-JP"/>
              </w:rPr>
              <w:t>Rubber compound</w:t>
            </w:r>
          </w:p>
        </w:tc>
        <w:tc>
          <w:tcPr>
            <w:tcW w:w="5529" w:type="dxa"/>
            <w:gridSpan w:val="5"/>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Bridgestone specification: X0.6R</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eastAsia="ja-JP"/>
              </w:rPr>
            </w:pPr>
            <w:r w:rsidRPr="001A6C3F">
              <w:rPr>
                <w:snapToGrid w:val="0"/>
                <w:szCs w:val="24"/>
                <w:lang w:val="en-US" w:eastAsia="ja-JP"/>
              </w:rPr>
              <w:t>Nominal shear moduls (MPa)</w:t>
            </w:r>
          </w:p>
        </w:tc>
        <w:tc>
          <w:tcPr>
            <w:tcW w:w="5529" w:type="dxa"/>
            <w:gridSpan w:val="5"/>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0.62</w:t>
            </w:r>
            <w:r w:rsidRPr="001A6C3F">
              <w:rPr>
                <w:snapToGrid w:val="0"/>
                <w:szCs w:val="24"/>
                <w:lang w:val="en-US" w:eastAsia="ja-JP"/>
              </w:rPr>
              <w:t xml:space="preserve"> @ 100 % shear strain</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eastAsia="ja-JP"/>
              </w:rPr>
            </w:pPr>
            <w:r w:rsidRPr="001A6C3F">
              <w:rPr>
                <w:rFonts w:hint="eastAsia"/>
                <w:snapToGrid w:val="0"/>
                <w:szCs w:val="24"/>
                <w:lang w:val="en-US" w:eastAsia="ja-JP"/>
              </w:rPr>
              <w:t>N</w:t>
            </w:r>
            <w:r w:rsidRPr="001A6C3F">
              <w:rPr>
                <w:snapToGrid w:val="0"/>
                <w:szCs w:val="24"/>
                <w:lang w:val="en-US" w:eastAsia="ja-JP"/>
              </w:rPr>
              <w:t>ominal equiv.damp. ratio (%)</w:t>
            </w:r>
          </w:p>
        </w:tc>
        <w:tc>
          <w:tcPr>
            <w:tcW w:w="5529" w:type="dxa"/>
            <w:gridSpan w:val="5"/>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eastAsia="ja-JP"/>
              </w:rPr>
            </w:pPr>
            <w:r w:rsidRPr="001A6C3F">
              <w:rPr>
                <w:rFonts w:hint="eastAsia"/>
                <w:snapToGrid w:val="0"/>
                <w:szCs w:val="24"/>
                <w:lang w:val="en-US" w:eastAsia="ja-JP"/>
              </w:rPr>
              <w:t>24% @ 100% shear strain</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Total height (mm)</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422.2</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400.6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385.6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405.5</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410.2</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Total weight (kN)</w:t>
            </w:r>
          </w:p>
        </w:tc>
        <w:tc>
          <w:tcPr>
            <w:tcW w:w="993"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11.9</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17.3</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23.3</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33.9</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center"/>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39.7</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8" w:space="0" w:color="000000"/>
            </w:tcBorders>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Nominal long term column load (kN)</w:t>
            </w:r>
          </w:p>
        </w:tc>
        <w:tc>
          <w:tcPr>
            <w:tcW w:w="993" w:type="dxa"/>
            <w:tcBorders>
              <w:top w:val="single" w:sz="4" w:space="0" w:color="auto"/>
              <w:bottom w:val="single" w:sz="8" w:space="0" w:color="000000"/>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6050</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11800</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16900</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23000</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center"/>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26500</w:t>
            </w:r>
          </w:p>
        </w:tc>
      </w:tr>
    </w:tbl>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6C3F">
        <w:rPr>
          <w:rFonts w:eastAsia="Times New Roman"/>
          <w:b/>
          <w:caps/>
          <w:snapToGrid w:val="0"/>
          <w:szCs w:val="24"/>
          <w:lang w:val="en-US" w:eastAsia="en-US"/>
        </w:rPr>
        <w:t>2. Modeling and analysıs</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A6C3F">
        <w:rPr>
          <w:rFonts w:eastAsia="Times New Roman"/>
          <w:b/>
          <w:i/>
          <w:snapToGrid w:val="0"/>
          <w:szCs w:val="24"/>
          <w:lang w:val="en-US" w:eastAsia="en-US"/>
        </w:rPr>
        <w:t>2.1 Employed isolator models</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Two models are used for the high damping rubber bearings used in this study. In the multi linear plastic (MLP) model(SAP2000, 2018), the nonlinear force-deformation relationship is given by a multi-linear curve that has different loading and unloading behavior dissipating energy according to various hysteretic models. In this study, kinematic hysteretic model is used. The force deformation relation in this model is shown in Figure 4a. </w:t>
      </w: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The second model employed is the high damping rubber isolator model proposed, hereafter HDRB model, by Masaki et. al. (2017). The model has been specifically developed for HDRB and is for uniaxial or biaxial shear deformation of rubber isolators. The compressive characteristic which is independent of shear is modeled elastically. The force deformation relationship for HDRB is shown in Figure 4b. It is important to note that the shear properties of HDRB are based on the third cycle of sinusoidal loading at a shear strain of 100 %. Details of both models are given in SAP2000. The model properties for the isolators used in the building that are calculated at 244 percent shear strain are summarized in Tables 3 and 4. Where u represents the ratio of characteristic strength (</w:t>
      </w:r>
      <w:r w:rsidRPr="001A6C3F">
        <w:rPr>
          <w:rFonts w:eastAsia="Times New Roman"/>
          <w:i/>
          <w:snapToGrid w:val="0"/>
          <w:szCs w:val="24"/>
          <w:lang w:val="en-US" w:eastAsia="en-US"/>
        </w:rPr>
        <w:t>Q</w:t>
      </w:r>
      <w:r w:rsidRPr="001A6C3F">
        <w:rPr>
          <w:rFonts w:eastAsia="Times New Roman"/>
          <w:snapToGrid w:val="0"/>
          <w:szCs w:val="24"/>
          <w:vertAlign w:val="subscript"/>
          <w:lang w:val="en-US" w:eastAsia="en-US"/>
        </w:rPr>
        <w:t>d1</w:t>
      </w:r>
      <w:r w:rsidRPr="001A6C3F">
        <w:rPr>
          <w:rFonts w:eastAsia="Times New Roman"/>
          <w:snapToGrid w:val="0"/>
          <w:szCs w:val="24"/>
          <w:lang w:val="en-US" w:eastAsia="en-US"/>
        </w:rPr>
        <w:t>) to maximum shear force (</w:t>
      </w:r>
      <w:r w:rsidRPr="001A6C3F">
        <w:rPr>
          <w:rFonts w:eastAsia="Times New Roman"/>
          <w:i/>
          <w:snapToGrid w:val="0"/>
          <w:szCs w:val="24"/>
          <w:lang w:val="en-US" w:eastAsia="en-US"/>
        </w:rPr>
        <w:t>Q</w:t>
      </w:r>
      <w:r w:rsidRPr="001A6C3F">
        <w:rPr>
          <w:rFonts w:eastAsia="Times New Roman"/>
          <w:snapToGrid w:val="0"/>
          <w:szCs w:val="24"/>
          <w:vertAlign w:val="subscript"/>
          <w:lang w:val="en-US" w:eastAsia="en-US"/>
        </w:rPr>
        <w:t>1</w:t>
      </w:r>
      <w:r w:rsidRPr="001A6C3F">
        <w:rPr>
          <w:rFonts w:eastAsia="Times New Roman"/>
          <w:snapToGrid w:val="0"/>
          <w:szCs w:val="24"/>
          <w:lang w:val="en-US" w:eastAsia="en-US"/>
        </w:rPr>
        <w:t>=</w:t>
      </w:r>
      <w:r w:rsidRPr="001A6C3F">
        <w:rPr>
          <w:rFonts w:eastAsia="Times New Roman"/>
          <w:i/>
          <w:snapToGrid w:val="0"/>
          <w:szCs w:val="24"/>
          <w:lang w:val="en-US" w:eastAsia="en-US"/>
        </w:rPr>
        <w:t>K</w:t>
      </w:r>
      <w:r w:rsidRPr="001A6C3F">
        <w:rPr>
          <w:rFonts w:eastAsia="Times New Roman"/>
          <w:snapToGrid w:val="0"/>
          <w:szCs w:val="24"/>
          <w:vertAlign w:val="subscript"/>
          <w:lang w:val="en-US" w:eastAsia="en-US"/>
        </w:rPr>
        <w:t>eq</w:t>
      </w:r>
      <w:r w:rsidRPr="001A6C3F">
        <w:rPr>
          <w:rFonts w:eastAsia="Times New Roman"/>
          <w:snapToGrid w:val="0"/>
          <w:szCs w:val="24"/>
          <w:lang w:val="en-US" w:eastAsia="en-US"/>
        </w:rPr>
        <w:t>*</w:t>
      </w:r>
      <w:r w:rsidRPr="001A6C3F">
        <w:rPr>
          <w:rFonts w:eastAsia="Times New Roman"/>
          <w:i/>
          <w:snapToGrid w:val="0"/>
          <w:szCs w:val="24"/>
          <w:lang w:val="en-US" w:eastAsia="en-US"/>
        </w:rPr>
        <w:t>X</w:t>
      </w:r>
      <w:r w:rsidRPr="001A6C3F">
        <w:rPr>
          <w:rFonts w:eastAsia="Times New Roman"/>
          <w:snapToGrid w:val="0"/>
          <w:szCs w:val="24"/>
          <w:vertAlign w:val="subscript"/>
          <w:lang w:val="en-US" w:eastAsia="en-US"/>
        </w:rPr>
        <w:t>1</w:t>
      </w:r>
      <w:r w:rsidRPr="001A6C3F">
        <w:rPr>
          <w:rFonts w:eastAsia="Times New Roman"/>
          <w:snapToGrid w:val="0"/>
          <w:szCs w:val="24"/>
          <w:lang w:val="en-US" w:eastAsia="en-US"/>
        </w:rPr>
        <w:t xml:space="preserve">). </w:t>
      </w:r>
      <w:r w:rsidRPr="001A6C3F">
        <w:rPr>
          <w:rFonts w:eastAsia="Times New Roman"/>
          <w:i/>
          <w:snapToGrid w:val="0"/>
          <w:szCs w:val="24"/>
          <w:lang w:val="en-US" w:eastAsia="en-US"/>
        </w:rPr>
        <w:t>K</w:t>
      </w:r>
      <w:r w:rsidRPr="001A6C3F">
        <w:rPr>
          <w:rFonts w:eastAsia="Times New Roman"/>
          <w:snapToGrid w:val="0"/>
          <w:szCs w:val="24"/>
          <w:vertAlign w:val="subscript"/>
          <w:lang w:val="en-US" w:eastAsia="en-US"/>
        </w:rPr>
        <w:t>1</w:t>
      </w:r>
      <w:r w:rsidRPr="001A6C3F">
        <w:rPr>
          <w:rFonts w:eastAsia="Times New Roman"/>
          <w:snapToGrid w:val="0"/>
          <w:szCs w:val="24"/>
          <w:lang w:val="en-US" w:eastAsia="en-US"/>
        </w:rPr>
        <w:t xml:space="preserve"> is the initial stiffness and </w:t>
      </w:r>
      <w:r w:rsidRPr="001A6C3F">
        <w:rPr>
          <w:rFonts w:eastAsia="Times New Roman"/>
          <w:i/>
          <w:snapToGrid w:val="0"/>
          <w:szCs w:val="24"/>
          <w:lang w:val="en-US" w:eastAsia="en-US"/>
        </w:rPr>
        <w:t>K</w:t>
      </w:r>
      <w:r w:rsidRPr="001A6C3F">
        <w:rPr>
          <w:rFonts w:eastAsia="Times New Roman"/>
          <w:snapToGrid w:val="0"/>
          <w:szCs w:val="24"/>
          <w:vertAlign w:val="subscript"/>
          <w:lang w:val="en-US" w:eastAsia="en-US"/>
        </w:rPr>
        <w:t>2</w:t>
      </w:r>
      <w:r w:rsidRPr="001A6C3F">
        <w:rPr>
          <w:rFonts w:eastAsia="Times New Roman"/>
          <w:snapToGrid w:val="0"/>
          <w:szCs w:val="24"/>
          <w:lang w:val="en-US" w:eastAsia="en-US"/>
        </w:rPr>
        <w:t xml:space="preserve"> is post yield stiffness. </w:t>
      </w:r>
      <w:r w:rsidRPr="001A6C3F">
        <w:rPr>
          <w:rFonts w:eastAsia="Times New Roman"/>
          <w:i/>
          <w:snapToGrid w:val="0"/>
          <w:szCs w:val="24"/>
          <w:lang w:val="en-US" w:eastAsia="en-US"/>
        </w:rPr>
        <w:t>H</w:t>
      </w:r>
      <w:r w:rsidRPr="001A6C3F">
        <w:rPr>
          <w:rFonts w:eastAsia="Times New Roman"/>
          <w:snapToGrid w:val="0"/>
          <w:szCs w:val="24"/>
          <w:vertAlign w:val="subscript"/>
          <w:lang w:val="en-US" w:eastAsia="en-US"/>
        </w:rPr>
        <w:t>eq</w:t>
      </w:r>
      <w:r w:rsidRPr="001A6C3F">
        <w:rPr>
          <w:rFonts w:eastAsia="Times New Roman"/>
          <w:snapToGrid w:val="0"/>
          <w:szCs w:val="24"/>
          <w:lang w:val="en-US" w:eastAsia="en-US"/>
        </w:rPr>
        <w:t xml:space="preserve"> shows the equivalent damping ratio. </w:t>
      </w: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br w:type="page"/>
      </w: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noProof/>
          <w:snapToGrid w:val="0"/>
          <w:szCs w:val="24"/>
        </w:rPr>
        <w:lastRenderedPageBreak/>
        <w:drawing>
          <wp:inline distT="0" distB="0" distL="0" distR="0" wp14:anchorId="04EBC3FD" wp14:editId="63CA6240">
            <wp:extent cx="3084094" cy="1606473"/>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6110" cy="1617941"/>
                    </a:xfrm>
                    <a:prstGeom prst="rect">
                      <a:avLst/>
                    </a:prstGeom>
                    <a:noFill/>
                  </pic:spPr>
                </pic:pic>
              </a:graphicData>
            </a:graphic>
          </wp:inline>
        </w:drawing>
      </w:r>
      <w:r w:rsidRPr="001A6C3F">
        <w:rPr>
          <w:rFonts w:eastAsia="Times New Roman"/>
          <w:noProof/>
          <w:snapToGrid w:val="0"/>
          <w:szCs w:val="24"/>
        </w:rPr>
        <w:drawing>
          <wp:inline distT="0" distB="0" distL="0" distR="0" wp14:anchorId="66282AEE" wp14:editId="2E03EC11">
            <wp:extent cx="2538663" cy="202566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43687" t="15011" r="18293" b="28918"/>
                    <a:stretch>
                      <a:fillRect/>
                    </a:stretch>
                  </pic:blipFill>
                  <pic:spPr bwMode="auto">
                    <a:xfrm>
                      <a:off x="0" y="0"/>
                      <a:ext cx="2541729" cy="2028115"/>
                    </a:xfrm>
                    <a:prstGeom prst="rect">
                      <a:avLst/>
                    </a:prstGeom>
                    <a:noFill/>
                    <a:ln w="9525">
                      <a:noFill/>
                      <a:miter lim="800000"/>
                      <a:headEnd/>
                      <a:tailEnd/>
                    </a:ln>
                  </pic:spPr>
                </pic:pic>
              </a:graphicData>
            </a:graphic>
          </wp:inline>
        </w:drawing>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4. Force deformation relationship for Isolator: a)MLP model, b)HDRB model</w:t>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Table 3. Model properties of HDR bearings.</w:t>
      </w:r>
    </w:p>
    <w:p w:rsidR="001A6C3F" w:rsidRPr="001A6C3F" w:rsidRDefault="001A6C3F" w:rsidP="001A6C3F">
      <w:pPr>
        <w:widowControl w:val="0"/>
        <w:spacing w:after="0" w:line="240" w:lineRule="auto"/>
        <w:jc w:val="both"/>
        <w:rPr>
          <w:rFonts w:eastAsia="Times New Roman"/>
          <w:snapToGrid w:val="0"/>
          <w:szCs w:val="24"/>
          <w:lang w:val="en-US" w:eastAsia="en-US"/>
        </w:rPr>
      </w:pPr>
    </w:p>
    <w:tbl>
      <w:tblPr>
        <w:tblStyle w:val="LightShading1"/>
        <w:tblW w:w="0" w:type="auto"/>
        <w:tblLook w:val="04A0" w:firstRow="1" w:lastRow="0" w:firstColumn="1" w:lastColumn="0" w:noHBand="0" w:noVBand="1"/>
      </w:tblPr>
      <w:tblGrid>
        <w:gridCol w:w="3510"/>
        <w:gridCol w:w="1041"/>
        <w:gridCol w:w="1134"/>
        <w:gridCol w:w="1151"/>
        <w:gridCol w:w="1134"/>
        <w:gridCol w:w="1134"/>
      </w:tblGrid>
      <w:tr w:rsidR="001A6C3F" w:rsidRPr="001A6C3F" w:rsidTr="00FF5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rsidR="001A6C3F" w:rsidRPr="001A6C3F" w:rsidRDefault="001A6C3F" w:rsidP="001A6C3F">
            <w:pPr>
              <w:widowControl w:val="0"/>
              <w:jc w:val="both"/>
              <w:rPr>
                <w:snapToGrid w:val="0"/>
                <w:szCs w:val="24"/>
                <w:lang w:val="en-US"/>
              </w:rPr>
            </w:pPr>
            <w:r w:rsidRPr="001A6C3F">
              <w:rPr>
                <w:snapToGrid w:val="0"/>
                <w:szCs w:val="24"/>
                <w:lang w:val="en-US"/>
              </w:rPr>
              <w:t>Property</w:t>
            </w:r>
          </w:p>
        </w:tc>
        <w:tc>
          <w:tcPr>
            <w:tcW w:w="1041"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Type1</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Type2</w:t>
            </w:r>
          </w:p>
        </w:tc>
        <w:tc>
          <w:tcPr>
            <w:tcW w:w="1151"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Type3</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Type4</w:t>
            </w:r>
          </w:p>
        </w:tc>
        <w:tc>
          <w:tcPr>
            <w:tcW w:w="1134" w:type="dxa"/>
            <w:shd w:val="clear" w:color="auto" w:fill="auto"/>
          </w:tcPr>
          <w:p w:rsidR="001A6C3F" w:rsidRPr="001A6C3F" w:rsidRDefault="001A6C3F" w:rsidP="001A6C3F">
            <w:pPr>
              <w:widowControl w:val="0"/>
              <w:jc w:val="center"/>
              <w:cnfStyle w:val="100000000000" w:firstRow="1"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Type5</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000000"/>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A (mm2)</w:t>
            </w:r>
          </w:p>
        </w:tc>
        <w:tc>
          <w:tcPr>
            <w:tcW w:w="1041" w:type="dxa"/>
            <w:tcBorders>
              <w:top w:val="single" w:sz="8" w:space="0" w:color="000000"/>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502300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784900</w:t>
            </w:r>
          </w:p>
        </w:tc>
        <w:tc>
          <w:tcPr>
            <w:tcW w:w="1151" w:type="dxa"/>
            <w:tcBorders>
              <w:top w:val="single" w:sz="8" w:space="0" w:color="000000"/>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1128600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1536100</w:t>
            </w:r>
          </w:p>
        </w:tc>
        <w:tc>
          <w:tcPr>
            <w:tcW w:w="1134" w:type="dxa"/>
            <w:tcBorders>
              <w:top w:val="single" w:sz="8" w:space="0" w:color="000000"/>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1763800</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H (mm)</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201</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200</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Geq</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0.466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0.466</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0.466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0.466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0.466</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Keq</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1170.21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1819.48</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2629.29</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3578.64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4109.12</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Heq</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0.200</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0.200</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0.200</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Dtm (mm)</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488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490.44</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488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488</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488</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u</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0.34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0.34</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0.34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0.34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0.34</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Keq</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1170.21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1819.48</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2629.29</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3578.64</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4109.12</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K1 (kN/m)</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7781.71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12099.30</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17484.46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23797.52</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27325.08</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K2</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778.17</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1209.93</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1748.45</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2379.75</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2732.51</w:t>
            </w:r>
          </w:p>
        </w:tc>
      </w:tr>
      <w:tr w:rsidR="001A6C3F" w:rsidRPr="001A6C3F" w:rsidTr="00FF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4" w:space="0" w:color="auto"/>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Qd (kN)</w:t>
            </w:r>
          </w:p>
        </w:tc>
        <w:tc>
          <w:tcPr>
            <w:tcW w:w="104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191.31</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298.95</w:t>
            </w:r>
          </w:p>
        </w:tc>
        <w:tc>
          <w:tcPr>
            <w:tcW w:w="1151"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429.85</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585.06</w:t>
            </w:r>
          </w:p>
        </w:tc>
        <w:tc>
          <w:tcPr>
            <w:tcW w:w="1134" w:type="dxa"/>
            <w:tcBorders>
              <w:top w:val="single" w:sz="4" w:space="0" w:color="auto"/>
              <w:bottom w:val="single" w:sz="4" w:space="0" w:color="auto"/>
            </w:tcBorders>
            <w:shd w:val="clear" w:color="auto" w:fill="auto"/>
          </w:tcPr>
          <w:p w:rsidR="001A6C3F" w:rsidRPr="001A6C3F" w:rsidRDefault="001A6C3F" w:rsidP="001A6C3F">
            <w:pPr>
              <w:widowControl w:val="0"/>
              <w:jc w:val="both"/>
              <w:cnfStyle w:val="000000100000" w:firstRow="0" w:lastRow="0" w:firstColumn="0" w:lastColumn="0" w:oddVBand="0" w:evenVBand="0" w:oddHBand="1" w:evenHBand="0" w:firstRowFirstColumn="0" w:firstRowLastColumn="0" w:lastRowFirstColumn="0" w:lastRowLastColumn="0"/>
              <w:rPr>
                <w:snapToGrid w:val="0"/>
                <w:szCs w:val="24"/>
                <w:lang w:val="en-US"/>
              </w:rPr>
            </w:pPr>
            <w:r w:rsidRPr="001A6C3F">
              <w:rPr>
                <w:snapToGrid w:val="0"/>
                <w:szCs w:val="24"/>
                <w:lang w:val="en-US"/>
              </w:rPr>
              <w:t>671.78</w:t>
            </w:r>
          </w:p>
        </w:tc>
      </w:tr>
      <w:tr w:rsidR="001A6C3F" w:rsidRPr="001A6C3F" w:rsidTr="00FF5A90">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bottom w:val="single" w:sz="8" w:space="0" w:color="000000"/>
            </w:tcBorders>
            <w:shd w:val="clear" w:color="auto" w:fill="auto"/>
            <w:vAlign w:val="bottom"/>
          </w:tcPr>
          <w:p w:rsidR="001A6C3F" w:rsidRPr="001A6C3F" w:rsidRDefault="001A6C3F" w:rsidP="001A6C3F">
            <w:pPr>
              <w:widowControl w:val="0"/>
              <w:jc w:val="both"/>
              <w:rPr>
                <w:snapToGrid w:val="0"/>
                <w:szCs w:val="24"/>
                <w:lang w:val="en-US"/>
              </w:rPr>
            </w:pPr>
            <w:r w:rsidRPr="001A6C3F">
              <w:rPr>
                <w:snapToGrid w:val="0"/>
                <w:szCs w:val="24"/>
                <w:lang w:val="en-US"/>
              </w:rPr>
              <w:t>F</w:t>
            </w:r>
            <w:r w:rsidRPr="001A6C3F">
              <w:rPr>
                <w:snapToGrid w:val="0"/>
                <w:szCs w:val="24"/>
                <w:vertAlign w:val="subscript"/>
                <w:lang w:val="en-US"/>
              </w:rPr>
              <w:t>1</w:t>
            </w:r>
          </w:p>
        </w:tc>
        <w:tc>
          <w:tcPr>
            <w:tcW w:w="1041" w:type="dxa"/>
            <w:tcBorders>
              <w:top w:val="single" w:sz="4" w:space="0" w:color="auto"/>
              <w:bottom w:val="single" w:sz="8" w:space="0" w:color="000000"/>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212.57</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332.16</w:t>
            </w:r>
          </w:p>
        </w:tc>
        <w:tc>
          <w:tcPr>
            <w:tcW w:w="1151" w:type="dxa"/>
            <w:tcBorders>
              <w:top w:val="single" w:sz="4" w:space="0" w:color="auto"/>
              <w:bottom w:val="single" w:sz="8" w:space="0" w:color="000000"/>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477.62</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650.07</w:t>
            </w:r>
          </w:p>
        </w:tc>
        <w:tc>
          <w:tcPr>
            <w:tcW w:w="1134" w:type="dxa"/>
            <w:tcBorders>
              <w:top w:val="single" w:sz="4" w:space="0" w:color="auto"/>
              <w:bottom w:val="single" w:sz="8" w:space="0" w:color="000000"/>
            </w:tcBorders>
            <w:shd w:val="clear" w:color="auto" w:fill="auto"/>
          </w:tcPr>
          <w:p w:rsidR="001A6C3F" w:rsidRPr="001A6C3F" w:rsidRDefault="001A6C3F" w:rsidP="001A6C3F">
            <w:pPr>
              <w:widowControl w:val="0"/>
              <w:jc w:val="both"/>
              <w:cnfStyle w:val="000000000000" w:firstRow="0" w:lastRow="0" w:firstColumn="0" w:lastColumn="0" w:oddVBand="0" w:evenVBand="0" w:oddHBand="0" w:evenHBand="0" w:firstRowFirstColumn="0" w:firstRowLastColumn="0" w:lastRowFirstColumn="0" w:lastRowLastColumn="0"/>
              <w:rPr>
                <w:snapToGrid w:val="0"/>
                <w:szCs w:val="24"/>
                <w:lang w:val="en-US"/>
              </w:rPr>
            </w:pPr>
            <w:r w:rsidRPr="001A6C3F">
              <w:rPr>
                <w:snapToGrid w:val="0"/>
                <w:szCs w:val="24"/>
                <w:lang w:val="en-US"/>
              </w:rPr>
              <w:t>746.43</w:t>
            </w:r>
          </w:p>
        </w:tc>
      </w:tr>
    </w:tbl>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Table 4. Force displacement relation parameters of MLP model.</w:t>
      </w:r>
    </w:p>
    <w:p w:rsidR="001A6C3F" w:rsidRPr="001A6C3F" w:rsidRDefault="001A6C3F" w:rsidP="001A6C3F">
      <w:pPr>
        <w:widowControl w:val="0"/>
        <w:spacing w:after="0" w:line="240" w:lineRule="auto"/>
        <w:jc w:val="both"/>
        <w:rPr>
          <w:rFonts w:eastAsia="Times New Roman"/>
          <w:snapToGrid w:val="0"/>
          <w:szCs w:val="24"/>
          <w:lang w:val="en-US" w:eastAsia="en-US"/>
        </w:rPr>
      </w:pPr>
    </w:p>
    <w:tbl>
      <w:tblPr>
        <w:tblStyle w:val="4"/>
        <w:tblW w:w="5649"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29"/>
        <w:gridCol w:w="1130"/>
        <w:gridCol w:w="1130"/>
        <w:gridCol w:w="1130"/>
        <w:gridCol w:w="1130"/>
      </w:tblGrid>
      <w:tr w:rsidR="001A6C3F" w:rsidRPr="001A6C3F" w:rsidTr="00FF5A90">
        <w:trPr>
          <w:jc w:val="center"/>
        </w:trPr>
        <w:tc>
          <w:tcPr>
            <w:tcW w:w="1129" w:type="dxa"/>
            <w:tcBorders>
              <w:top w:val="single" w:sz="4" w:space="0" w:color="auto"/>
              <w:bottom w:val="single" w:sz="4" w:space="0" w:color="auto"/>
            </w:tcBorders>
          </w:tcPr>
          <w:p w:rsidR="001A6C3F" w:rsidRPr="001A6C3F" w:rsidRDefault="001A6C3F" w:rsidP="001A6C3F">
            <w:pPr>
              <w:widowControl w:val="0"/>
              <w:jc w:val="both"/>
              <w:rPr>
                <w:snapToGrid w:val="0"/>
                <w:szCs w:val="24"/>
                <w:lang w:val="en-US"/>
              </w:rPr>
            </w:pPr>
          </w:p>
        </w:tc>
        <w:tc>
          <w:tcPr>
            <w:tcW w:w="1130" w:type="dxa"/>
            <w:tcBorders>
              <w:top w:val="single" w:sz="4" w:space="0" w:color="auto"/>
              <w:bottom w:val="single" w:sz="4" w:space="0" w:color="auto"/>
            </w:tcBorders>
          </w:tcPr>
          <w:p w:rsidR="001A6C3F" w:rsidRPr="001A6C3F" w:rsidRDefault="001A6C3F" w:rsidP="001A6C3F">
            <w:pPr>
              <w:widowControl w:val="0"/>
              <w:jc w:val="center"/>
              <w:rPr>
                <w:snapToGrid w:val="0"/>
                <w:szCs w:val="24"/>
                <w:lang w:val="en-US"/>
              </w:rPr>
            </w:pPr>
            <w:r w:rsidRPr="001A6C3F">
              <w:rPr>
                <w:snapToGrid w:val="0"/>
                <w:szCs w:val="24"/>
                <w:lang w:val="en-US"/>
              </w:rPr>
              <w:t>u</w:t>
            </w:r>
            <w:r w:rsidRPr="001A6C3F">
              <w:rPr>
                <w:snapToGrid w:val="0"/>
                <w:szCs w:val="24"/>
                <w:vertAlign w:val="subscript"/>
                <w:lang w:val="en-US"/>
              </w:rPr>
              <w:t xml:space="preserve">1 </w:t>
            </w:r>
            <w:r w:rsidRPr="001A6C3F">
              <w:rPr>
                <w:snapToGrid w:val="0"/>
                <w:szCs w:val="24"/>
                <w:lang w:val="en-US"/>
              </w:rPr>
              <w:t>(m)</w:t>
            </w:r>
          </w:p>
        </w:tc>
        <w:tc>
          <w:tcPr>
            <w:tcW w:w="1130" w:type="dxa"/>
            <w:tcBorders>
              <w:top w:val="single" w:sz="4" w:space="0" w:color="auto"/>
              <w:bottom w:val="single" w:sz="4" w:space="0" w:color="auto"/>
            </w:tcBorders>
          </w:tcPr>
          <w:p w:rsidR="001A6C3F" w:rsidRPr="001A6C3F" w:rsidRDefault="001A6C3F" w:rsidP="001A6C3F">
            <w:pPr>
              <w:widowControl w:val="0"/>
              <w:jc w:val="center"/>
              <w:rPr>
                <w:snapToGrid w:val="0"/>
                <w:szCs w:val="24"/>
                <w:lang w:val="en-US"/>
              </w:rPr>
            </w:pPr>
            <w:r w:rsidRPr="001A6C3F">
              <w:rPr>
                <w:snapToGrid w:val="0"/>
                <w:szCs w:val="24"/>
                <w:lang w:val="en-US"/>
              </w:rPr>
              <w:t>F</w:t>
            </w:r>
            <w:r w:rsidRPr="001A6C3F">
              <w:rPr>
                <w:snapToGrid w:val="0"/>
                <w:szCs w:val="24"/>
                <w:vertAlign w:val="subscript"/>
                <w:lang w:val="en-US"/>
              </w:rPr>
              <w:t xml:space="preserve">1 </w:t>
            </w:r>
            <w:r w:rsidRPr="001A6C3F">
              <w:rPr>
                <w:snapToGrid w:val="0"/>
                <w:szCs w:val="24"/>
                <w:lang w:val="en-US"/>
              </w:rPr>
              <w:t>(kN)</w:t>
            </w:r>
          </w:p>
        </w:tc>
        <w:tc>
          <w:tcPr>
            <w:tcW w:w="1130" w:type="dxa"/>
            <w:tcBorders>
              <w:top w:val="single" w:sz="4" w:space="0" w:color="auto"/>
              <w:bottom w:val="single" w:sz="4" w:space="0" w:color="auto"/>
            </w:tcBorders>
          </w:tcPr>
          <w:p w:rsidR="001A6C3F" w:rsidRPr="001A6C3F" w:rsidRDefault="001A6C3F" w:rsidP="001A6C3F">
            <w:pPr>
              <w:widowControl w:val="0"/>
              <w:jc w:val="center"/>
              <w:rPr>
                <w:snapToGrid w:val="0"/>
                <w:szCs w:val="24"/>
                <w:lang w:val="en-US"/>
              </w:rPr>
            </w:pPr>
            <w:r w:rsidRPr="001A6C3F">
              <w:rPr>
                <w:snapToGrid w:val="0"/>
                <w:szCs w:val="24"/>
                <w:lang w:val="en-US"/>
              </w:rPr>
              <w:t>u</w:t>
            </w:r>
            <w:r w:rsidRPr="001A6C3F">
              <w:rPr>
                <w:snapToGrid w:val="0"/>
                <w:szCs w:val="24"/>
                <w:vertAlign w:val="subscript"/>
                <w:lang w:val="en-US"/>
              </w:rPr>
              <w:t xml:space="preserve">max </w:t>
            </w:r>
            <w:r w:rsidRPr="001A6C3F">
              <w:rPr>
                <w:snapToGrid w:val="0"/>
                <w:szCs w:val="24"/>
                <w:lang w:val="en-US"/>
              </w:rPr>
              <w:t>(m)</w:t>
            </w:r>
          </w:p>
        </w:tc>
        <w:tc>
          <w:tcPr>
            <w:tcW w:w="1130" w:type="dxa"/>
            <w:tcBorders>
              <w:top w:val="single" w:sz="4" w:space="0" w:color="auto"/>
              <w:bottom w:val="single" w:sz="4" w:space="0" w:color="auto"/>
            </w:tcBorders>
          </w:tcPr>
          <w:p w:rsidR="001A6C3F" w:rsidRPr="001A6C3F" w:rsidRDefault="001A6C3F" w:rsidP="001A6C3F">
            <w:pPr>
              <w:widowControl w:val="0"/>
              <w:jc w:val="center"/>
              <w:rPr>
                <w:snapToGrid w:val="0"/>
                <w:szCs w:val="24"/>
                <w:lang w:val="en-US"/>
              </w:rPr>
            </w:pPr>
            <w:r w:rsidRPr="001A6C3F">
              <w:rPr>
                <w:snapToGrid w:val="0"/>
                <w:szCs w:val="24"/>
                <w:lang w:val="en-US"/>
              </w:rPr>
              <w:t>F</w:t>
            </w:r>
            <w:r w:rsidRPr="001A6C3F">
              <w:rPr>
                <w:snapToGrid w:val="0"/>
                <w:szCs w:val="24"/>
                <w:vertAlign w:val="subscript"/>
                <w:lang w:val="en-US"/>
              </w:rPr>
              <w:t xml:space="preserve">max </w:t>
            </w:r>
            <w:r w:rsidRPr="001A6C3F">
              <w:rPr>
                <w:snapToGrid w:val="0"/>
                <w:szCs w:val="24"/>
                <w:lang w:val="en-US"/>
              </w:rPr>
              <w:t>(kN)</w:t>
            </w:r>
          </w:p>
        </w:tc>
      </w:tr>
      <w:tr w:rsidR="001A6C3F" w:rsidRPr="001A6C3F" w:rsidTr="00FF5A90">
        <w:trPr>
          <w:jc w:val="center"/>
        </w:trPr>
        <w:tc>
          <w:tcPr>
            <w:tcW w:w="1129" w:type="dxa"/>
            <w:tcBorders>
              <w:top w:val="single" w:sz="4" w:space="0" w:color="auto"/>
            </w:tcBorders>
          </w:tcPr>
          <w:p w:rsidR="001A6C3F" w:rsidRPr="001A6C3F" w:rsidRDefault="001A6C3F" w:rsidP="001A6C3F">
            <w:pPr>
              <w:widowControl w:val="0"/>
              <w:jc w:val="both"/>
              <w:rPr>
                <w:snapToGrid w:val="0"/>
                <w:szCs w:val="24"/>
                <w:lang w:val="en-US"/>
              </w:rPr>
            </w:pPr>
            <w:r w:rsidRPr="001A6C3F">
              <w:rPr>
                <w:snapToGrid w:val="0"/>
                <w:szCs w:val="24"/>
                <w:lang w:val="en-US"/>
              </w:rPr>
              <w:t>Type 1</w:t>
            </w:r>
          </w:p>
        </w:tc>
        <w:tc>
          <w:tcPr>
            <w:tcW w:w="1130" w:type="dxa"/>
            <w:tcBorders>
              <w:top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0.027</w:t>
            </w:r>
          </w:p>
        </w:tc>
        <w:tc>
          <w:tcPr>
            <w:tcW w:w="1130" w:type="dxa"/>
            <w:tcBorders>
              <w:top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212.6</w:t>
            </w:r>
          </w:p>
        </w:tc>
        <w:tc>
          <w:tcPr>
            <w:tcW w:w="1130" w:type="dxa"/>
            <w:tcBorders>
              <w:top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0.49</w:t>
            </w:r>
          </w:p>
        </w:tc>
        <w:tc>
          <w:tcPr>
            <w:tcW w:w="1130" w:type="dxa"/>
            <w:tcBorders>
              <w:top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571.1</w:t>
            </w:r>
          </w:p>
        </w:tc>
      </w:tr>
      <w:tr w:rsidR="001A6C3F" w:rsidRPr="001A6C3F" w:rsidTr="00FF5A90">
        <w:trPr>
          <w:jc w:val="center"/>
        </w:trPr>
        <w:tc>
          <w:tcPr>
            <w:tcW w:w="1129" w:type="dxa"/>
          </w:tcPr>
          <w:p w:rsidR="001A6C3F" w:rsidRPr="001A6C3F" w:rsidRDefault="001A6C3F" w:rsidP="001A6C3F">
            <w:pPr>
              <w:widowControl w:val="0"/>
              <w:jc w:val="both"/>
              <w:rPr>
                <w:snapToGrid w:val="0"/>
                <w:szCs w:val="24"/>
                <w:lang w:val="en-US"/>
              </w:rPr>
            </w:pPr>
            <w:r w:rsidRPr="001A6C3F">
              <w:rPr>
                <w:snapToGrid w:val="0"/>
                <w:szCs w:val="24"/>
                <w:lang w:val="en-US"/>
              </w:rPr>
              <w:t>Type 2</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0.027</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332.2</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0.49</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892.4</w:t>
            </w:r>
          </w:p>
        </w:tc>
      </w:tr>
      <w:tr w:rsidR="001A6C3F" w:rsidRPr="001A6C3F" w:rsidTr="00FF5A90">
        <w:trPr>
          <w:jc w:val="center"/>
        </w:trPr>
        <w:tc>
          <w:tcPr>
            <w:tcW w:w="1129" w:type="dxa"/>
          </w:tcPr>
          <w:p w:rsidR="001A6C3F" w:rsidRPr="001A6C3F" w:rsidRDefault="001A6C3F" w:rsidP="001A6C3F">
            <w:pPr>
              <w:widowControl w:val="0"/>
              <w:jc w:val="both"/>
              <w:rPr>
                <w:snapToGrid w:val="0"/>
                <w:szCs w:val="24"/>
                <w:lang w:val="en-US"/>
              </w:rPr>
            </w:pPr>
            <w:r w:rsidRPr="001A6C3F">
              <w:rPr>
                <w:snapToGrid w:val="0"/>
                <w:szCs w:val="24"/>
                <w:lang w:val="en-US"/>
              </w:rPr>
              <w:t>Type 3</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0.027</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477.6</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0.49</w:t>
            </w:r>
          </w:p>
        </w:tc>
        <w:tc>
          <w:tcPr>
            <w:tcW w:w="1130" w:type="dxa"/>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1283.1</w:t>
            </w:r>
          </w:p>
        </w:tc>
      </w:tr>
      <w:tr w:rsidR="001A6C3F" w:rsidRPr="001A6C3F" w:rsidTr="00FF5A90">
        <w:trPr>
          <w:jc w:val="center"/>
        </w:trPr>
        <w:tc>
          <w:tcPr>
            <w:tcW w:w="1129" w:type="dxa"/>
            <w:tcBorders>
              <w:bottom w:val="single" w:sz="4" w:space="0" w:color="auto"/>
            </w:tcBorders>
          </w:tcPr>
          <w:p w:rsidR="001A6C3F" w:rsidRPr="001A6C3F" w:rsidRDefault="001A6C3F" w:rsidP="001A6C3F">
            <w:pPr>
              <w:widowControl w:val="0"/>
              <w:jc w:val="both"/>
              <w:rPr>
                <w:snapToGrid w:val="0"/>
                <w:szCs w:val="24"/>
                <w:lang w:val="en-US"/>
              </w:rPr>
            </w:pPr>
            <w:r w:rsidRPr="001A6C3F">
              <w:rPr>
                <w:snapToGrid w:val="0"/>
                <w:szCs w:val="24"/>
                <w:lang w:val="en-US"/>
              </w:rPr>
              <w:t>Type 4</w:t>
            </w:r>
          </w:p>
        </w:tc>
        <w:tc>
          <w:tcPr>
            <w:tcW w:w="1130" w:type="dxa"/>
            <w:tcBorders>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0.027</w:t>
            </w:r>
          </w:p>
        </w:tc>
        <w:tc>
          <w:tcPr>
            <w:tcW w:w="1130" w:type="dxa"/>
            <w:tcBorders>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650.1</w:t>
            </w:r>
          </w:p>
        </w:tc>
        <w:tc>
          <w:tcPr>
            <w:tcW w:w="1130" w:type="dxa"/>
            <w:tcBorders>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0.49</w:t>
            </w:r>
          </w:p>
        </w:tc>
        <w:tc>
          <w:tcPr>
            <w:tcW w:w="1130" w:type="dxa"/>
            <w:tcBorders>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1746.4</w:t>
            </w:r>
          </w:p>
        </w:tc>
      </w:tr>
      <w:tr w:rsidR="001A6C3F" w:rsidRPr="001A6C3F" w:rsidTr="00FF5A90">
        <w:trPr>
          <w:jc w:val="center"/>
        </w:trPr>
        <w:tc>
          <w:tcPr>
            <w:tcW w:w="1129" w:type="dxa"/>
            <w:tcBorders>
              <w:top w:val="single" w:sz="4" w:space="0" w:color="auto"/>
              <w:bottom w:val="single" w:sz="4" w:space="0" w:color="auto"/>
            </w:tcBorders>
          </w:tcPr>
          <w:p w:rsidR="001A6C3F" w:rsidRPr="001A6C3F" w:rsidRDefault="001A6C3F" w:rsidP="001A6C3F">
            <w:pPr>
              <w:widowControl w:val="0"/>
              <w:jc w:val="both"/>
              <w:rPr>
                <w:snapToGrid w:val="0"/>
                <w:szCs w:val="24"/>
                <w:lang w:val="en-US"/>
              </w:rPr>
            </w:pPr>
            <w:r w:rsidRPr="001A6C3F">
              <w:rPr>
                <w:snapToGrid w:val="0"/>
                <w:szCs w:val="24"/>
                <w:lang w:val="en-US"/>
              </w:rPr>
              <w:t>Type 5</w:t>
            </w:r>
          </w:p>
        </w:tc>
        <w:tc>
          <w:tcPr>
            <w:tcW w:w="1130" w:type="dxa"/>
            <w:tcBorders>
              <w:top w:val="single" w:sz="4" w:space="0" w:color="auto"/>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0.027</w:t>
            </w:r>
          </w:p>
        </w:tc>
        <w:tc>
          <w:tcPr>
            <w:tcW w:w="1130" w:type="dxa"/>
            <w:tcBorders>
              <w:top w:val="single" w:sz="4" w:space="0" w:color="auto"/>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746.4</w:t>
            </w:r>
          </w:p>
        </w:tc>
        <w:tc>
          <w:tcPr>
            <w:tcW w:w="1130" w:type="dxa"/>
            <w:tcBorders>
              <w:top w:val="single" w:sz="4" w:space="0" w:color="auto"/>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0.49</w:t>
            </w:r>
          </w:p>
        </w:tc>
        <w:tc>
          <w:tcPr>
            <w:tcW w:w="1130" w:type="dxa"/>
            <w:tcBorders>
              <w:top w:val="single" w:sz="4" w:space="0" w:color="auto"/>
              <w:bottom w:val="single" w:sz="4" w:space="0" w:color="auto"/>
            </w:tcBorders>
            <w:vAlign w:val="bottom"/>
          </w:tcPr>
          <w:p w:rsidR="001A6C3F" w:rsidRPr="001A6C3F" w:rsidRDefault="001A6C3F" w:rsidP="001A6C3F">
            <w:pPr>
              <w:widowControl w:val="0"/>
              <w:jc w:val="right"/>
              <w:rPr>
                <w:snapToGrid w:val="0"/>
                <w:color w:val="000000"/>
                <w:szCs w:val="24"/>
                <w:lang w:val="en-US"/>
              </w:rPr>
            </w:pPr>
            <w:r w:rsidRPr="001A6C3F">
              <w:rPr>
                <w:snapToGrid w:val="0"/>
                <w:color w:val="000000"/>
                <w:szCs w:val="24"/>
                <w:lang w:val="en-US"/>
              </w:rPr>
              <w:t>2005.3</w:t>
            </w:r>
          </w:p>
        </w:tc>
      </w:tr>
    </w:tbl>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A6C3F">
        <w:rPr>
          <w:rFonts w:eastAsia="Times New Roman"/>
          <w:b/>
          <w:i/>
          <w:snapToGrid w:val="0"/>
          <w:szCs w:val="24"/>
          <w:lang w:val="en-US" w:eastAsia="en-US"/>
        </w:rPr>
        <w:t>2.2 Building model</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The isolated building is modeled in SAP2000 using both isolator models employed. The superstructure is modeled elastically using frame elements for beams and columns, and shell elements for shear walls. Rigid floor diaphragm is used for all floors. For the isolators, nonlinear properties are determined (Table 3 and 4) and assigned consisted with both model properties described in SAP2000 and given in Figure 4. The dynamic properties of the building that are calculated at the shear strain of 244 percent are summarized in Table 5, where properties of both fixed base and isolated structure are given. In first five modes, approximately 80 percent modal mass participation is attained for fixed base structure.  </w:t>
      </w:r>
    </w:p>
    <w:p w:rsidR="001A6C3F" w:rsidRPr="001A6C3F" w:rsidRDefault="001A6C3F" w:rsidP="001A6C3F">
      <w:pPr>
        <w:spacing w:after="160" w:line="259" w:lineRule="auto"/>
        <w:rPr>
          <w:rFonts w:eastAsia="Times New Roman"/>
          <w:b/>
          <w:caps/>
          <w:snapToGrid w:val="0"/>
          <w:szCs w:val="24"/>
          <w:lang w:val="en-US" w:eastAsia="en-US"/>
        </w:rPr>
      </w:pPr>
      <w:r w:rsidRPr="001A6C3F">
        <w:rPr>
          <w:rFonts w:eastAsia="Times New Roman"/>
          <w:b/>
          <w:caps/>
          <w:snapToGrid w:val="0"/>
          <w:szCs w:val="24"/>
          <w:lang w:val="en-US" w:eastAsia="en-US"/>
        </w:rPr>
        <w:br w:type="page"/>
      </w:r>
    </w:p>
    <w:p w:rsidR="001A6C3F" w:rsidRPr="001A6C3F" w:rsidRDefault="001A6C3F" w:rsidP="001A6C3F">
      <w:pPr>
        <w:keepNext/>
        <w:widowControl w:val="0"/>
        <w:suppressAutoHyphens/>
        <w:spacing w:after="0" w:line="240" w:lineRule="auto"/>
        <w:jc w:val="both"/>
        <w:outlineLvl w:val="0"/>
        <w:rPr>
          <w:rFonts w:eastAsia="MS Mincho"/>
          <w:b/>
          <w:caps/>
          <w:snapToGrid w:val="0"/>
          <w:szCs w:val="24"/>
          <w:lang w:val="en-US" w:eastAsia="ja-JP" w:bidi="en-US"/>
        </w:rPr>
      </w:pPr>
      <w:r w:rsidRPr="001A6C3F">
        <w:rPr>
          <w:rFonts w:eastAsia="MS Mincho"/>
          <w:b/>
          <w:caps/>
          <w:snapToGrid w:val="0"/>
          <w:szCs w:val="24"/>
          <w:lang w:val="en-US" w:eastAsia="ja-JP" w:bidi="en-US"/>
        </w:rPr>
        <w:lastRenderedPageBreak/>
        <w:t>3. COMPARISONS and ınterpretatıon</w:t>
      </w:r>
    </w:p>
    <w:p w:rsidR="001A6C3F" w:rsidRPr="001A6C3F" w:rsidRDefault="001A6C3F" w:rsidP="001A6C3F">
      <w:pPr>
        <w:widowControl w:val="0"/>
        <w:tabs>
          <w:tab w:val="left" w:pos="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The average of maximum floor acceleration results obtained for DBE and MCE earthquake sets are shown in Figure 5.  The results are given at all floors at and above the isolation level (0th floor indicates the isolation level). It is seen that the results obtained from both models show significant differences. The average floor accelerations obtained from HDRB model are smaller than the MLP ones for both DBE and MCE earthquake sets. As expected DBE values are between 50-70 percent of MCE values. More variation along the floors is observed for MCE. The difference between the two models seems to be significant at all floors. The MLP results for MCE are 10-50 percent larger than HDRB results, whereas this difference is larger for DBE earthquake set.  Floor accelerations were also calculated using response spectrum analysis under target spectrum and the results are presented in Figure 6. In general, the response spectrum analysis results are closer to the ones obtained using HDRB model.  </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0"/>
          <w:lang w:val="en-US" w:eastAsia="en-US"/>
        </w:rPr>
      </w:pPr>
      <w:r w:rsidRPr="001A6C3F">
        <w:rPr>
          <w:rFonts w:eastAsia="Times New Roman"/>
          <w:snapToGrid w:val="0"/>
          <w:sz w:val="20"/>
          <w:szCs w:val="20"/>
          <w:lang w:val="en-US" w:eastAsia="en-US"/>
        </w:rPr>
        <w:t>Table 5. Modal Properties of the Building.</w:t>
      </w:r>
    </w:p>
    <w:p w:rsidR="001A6C3F" w:rsidRPr="001A6C3F" w:rsidRDefault="001A6C3F" w:rsidP="001A6C3F">
      <w:pPr>
        <w:widowControl w:val="0"/>
        <w:spacing w:after="0" w:line="240" w:lineRule="auto"/>
        <w:jc w:val="center"/>
        <w:rPr>
          <w:rFonts w:eastAsia="Times New Roman"/>
          <w:snapToGrid w:val="0"/>
          <w:sz w:val="20"/>
          <w:szCs w:val="20"/>
          <w:lang w:val="en-US" w:eastAsia="en-US"/>
        </w:rPr>
      </w:pPr>
    </w:p>
    <w:tbl>
      <w:tblPr>
        <w:tblW w:w="81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63"/>
        <w:gridCol w:w="1658"/>
        <w:gridCol w:w="997"/>
        <w:gridCol w:w="998"/>
        <w:gridCol w:w="1621"/>
        <w:gridCol w:w="975"/>
        <w:gridCol w:w="977"/>
      </w:tblGrid>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both"/>
              <w:rPr>
                <w:rFonts w:eastAsia="Times New Roman"/>
                <w:snapToGrid w:val="0"/>
                <w:sz w:val="24"/>
                <w:szCs w:val="20"/>
                <w:lang w:val="tr-TR" w:eastAsia="tr-TR"/>
              </w:rPr>
            </w:pPr>
          </w:p>
        </w:tc>
        <w:tc>
          <w:tcPr>
            <w:tcW w:w="3653" w:type="dxa"/>
            <w:gridSpan w:val="3"/>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Fixed Base</w:t>
            </w:r>
          </w:p>
        </w:tc>
        <w:tc>
          <w:tcPr>
            <w:tcW w:w="3573" w:type="dxa"/>
            <w:gridSpan w:val="3"/>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Isolated</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ascii="Calibri" w:eastAsia="Times New Roman" w:hAnsi="Calibri" w:cs="Calibri"/>
                <w:snapToGrid w:val="0"/>
                <w:color w:val="000000"/>
                <w:szCs w:val="24"/>
                <w:lang w:val="tr-TR" w:eastAsia="tr-TR"/>
              </w:rPr>
            </w:pP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p>
        </w:tc>
        <w:tc>
          <w:tcPr>
            <w:tcW w:w="1995" w:type="dxa"/>
            <w:gridSpan w:val="2"/>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 xml:space="preserve">Mass participation ratios </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p>
        </w:tc>
        <w:tc>
          <w:tcPr>
            <w:tcW w:w="1952" w:type="dxa"/>
            <w:gridSpan w:val="2"/>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Mass participation ratios</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ascii="Calibri" w:eastAsia="Times New Roman" w:hAnsi="Calibri" w:cs="Calibri"/>
                <w:snapToGrid w:val="0"/>
                <w:color w:val="000000"/>
                <w:szCs w:val="24"/>
                <w:lang w:val="tr-TR" w:eastAsia="tr-TR"/>
              </w:rPr>
            </w:pP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Period (s)</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Mx</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My</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Period (s)</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Mx</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My</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1</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1.57</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en-US"/>
              </w:rPr>
            </w:pPr>
            <w:r w:rsidRPr="001A6C3F">
              <w:rPr>
                <w:rFonts w:eastAsia="Times New Roman"/>
                <w:snapToGrid w:val="0"/>
                <w:color w:val="000000"/>
                <w:szCs w:val="24"/>
                <w:lang w:val="en-US" w:eastAsia="en-US"/>
              </w:rPr>
              <w:t>3.5E-01</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1.9E-01</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2.88</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en-US"/>
              </w:rPr>
            </w:pPr>
            <w:r w:rsidRPr="001A6C3F">
              <w:rPr>
                <w:rFonts w:eastAsia="Times New Roman"/>
                <w:snapToGrid w:val="0"/>
                <w:color w:val="000000"/>
                <w:szCs w:val="24"/>
                <w:lang w:val="en-US" w:eastAsia="en-US"/>
              </w:rPr>
              <w:t>5.9E-01</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1.3E-03</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2</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1.54</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1.2E-01</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5.5E-01</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2.85</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1.5E-04</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9.7E-01</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3</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1.39</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2.5E-01</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4.3E-05</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2.75</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3.9E-01</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4.2E-03</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4</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0.45</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1.7E-02</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4.8E-02</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0.75</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5.3E-03</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1.1E-02</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5</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0.45</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3.2E-02</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2.8E-02</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0.73</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7.8E-03</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7.2E-03</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6</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0.40</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3.0E-02</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7.8E-05</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0.69</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3.8E-03</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1.5E-05</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7</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0.29</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5.1E-05</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2.2E-05</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0.38</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1.7E-04</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6.2E-04</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8</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0.27</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9.9E-07</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5.9E-04</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0.37</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3.9E-04</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2.6E-04</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9</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0.25</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8.3E-03</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3.0E-02</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0.33</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1.8E-04</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2.1E-06</w:t>
            </w:r>
          </w:p>
        </w:tc>
      </w:tr>
      <w:tr w:rsidR="001A6C3F" w:rsidRPr="001A6C3F" w:rsidTr="00FF5A90">
        <w:trPr>
          <w:trHeight w:val="273"/>
          <w:jc w:val="center"/>
        </w:trPr>
        <w:tc>
          <w:tcPr>
            <w:tcW w:w="963"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Mode 10</w:t>
            </w:r>
          </w:p>
        </w:tc>
        <w:tc>
          <w:tcPr>
            <w:tcW w:w="165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0.25</w:t>
            </w:r>
          </w:p>
        </w:tc>
        <w:tc>
          <w:tcPr>
            <w:tcW w:w="99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3.5E-03</w:t>
            </w:r>
          </w:p>
        </w:tc>
        <w:tc>
          <w:tcPr>
            <w:tcW w:w="998"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7.0E-03</w:t>
            </w:r>
          </w:p>
        </w:tc>
        <w:tc>
          <w:tcPr>
            <w:tcW w:w="1621"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tr-TR" w:eastAsia="tr-TR"/>
              </w:rPr>
            </w:pPr>
            <w:r w:rsidRPr="001A6C3F">
              <w:rPr>
                <w:rFonts w:eastAsia="Times New Roman"/>
                <w:snapToGrid w:val="0"/>
                <w:color w:val="000000"/>
                <w:szCs w:val="24"/>
                <w:lang w:val="tr-TR" w:eastAsia="tr-TR"/>
              </w:rPr>
              <w:t>0.30</w:t>
            </w:r>
          </w:p>
        </w:tc>
        <w:tc>
          <w:tcPr>
            <w:tcW w:w="975"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2.1E-07</w:t>
            </w:r>
          </w:p>
        </w:tc>
        <w:tc>
          <w:tcPr>
            <w:tcW w:w="977" w:type="dxa"/>
            <w:shd w:val="clear" w:color="auto" w:fill="auto"/>
            <w:noWrap/>
            <w:vAlign w:val="center"/>
            <w:hideMark/>
          </w:tcPr>
          <w:p w:rsidR="001A6C3F" w:rsidRPr="001A6C3F" w:rsidRDefault="001A6C3F" w:rsidP="001A6C3F">
            <w:pPr>
              <w:widowControl w:val="0"/>
              <w:spacing w:after="0" w:line="240" w:lineRule="auto"/>
              <w:jc w:val="center"/>
              <w:rPr>
                <w:rFonts w:eastAsia="Times New Roman"/>
                <w:snapToGrid w:val="0"/>
                <w:color w:val="000000"/>
                <w:szCs w:val="24"/>
                <w:lang w:val="en-US" w:eastAsia="en-US"/>
              </w:rPr>
            </w:pPr>
            <w:r w:rsidRPr="001A6C3F">
              <w:rPr>
                <w:rFonts w:eastAsia="Times New Roman"/>
                <w:snapToGrid w:val="0"/>
                <w:color w:val="000000"/>
                <w:szCs w:val="24"/>
                <w:lang w:val="en-US" w:eastAsia="en-US"/>
              </w:rPr>
              <w:t>6.8E-08</w:t>
            </w:r>
          </w:p>
        </w:tc>
      </w:tr>
    </w:tbl>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eastAsia="en-US"/>
        </w:rPr>
      </w:pPr>
      <w:r w:rsidRPr="001A6C3F">
        <w:rPr>
          <w:rFonts w:eastAsia="Times New Roman"/>
          <w:noProof/>
          <w:snapToGrid w:val="0"/>
          <w:szCs w:val="24"/>
        </w:rPr>
        <w:drawing>
          <wp:inline distT="0" distB="0" distL="0" distR="0" wp14:anchorId="67840876" wp14:editId="4F459139">
            <wp:extent cx="5711190" cy="1852678"/>
            <wp:effectExtent l="1905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08821" cy="1851909"/>
                    </a:xfrm>
                    <a:prstGeom prst="rect">
                      <a:avLst/>
                    </a:prstGeom>
                    <a:noFill/>
                    <a:ln w="9525">
                      <a:noFill/>
                      <a:miter lim="800000"/>
                      <a:headEnd/>
                      <a:tailEnd/>
                    </a:ln>
                  </pic:spPr>
                </pic:pic>
              </a:graphicData>
            </a:graphic>
          </wp:inline>
        </w:drawing>
      </w:r>
    </w:p>
    <w:p w:rsidR="001A6C3F" w:rsidRPr="001A6C3F" w:rsidRDefault="001A6C3F" w:rsidP="001A6C3F">
      <w:pPr>
        <w:widowControl w:val="0"/>
        <w:spacing w:after="0" w:line="240" w:lineRule="auto"/>
        <w:jc w:val="both"/>
        <w:rPr>
          <w:rFonts w:eastAsia="Times New Roman"/>
          <w:snapToGrid w:val="0"/>
          <w:szCs w:val="24"/>
          <w:lang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5. Average floor accelerations</w:t>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Cs w:val="24"/>
          <w:lang w:eastAsia="en-US"/>
        </w:rPr>
      </w:pPr>
      <w:r w:rsidRPr="001A6C3F">
        <w:rPr>
          <w:rFonts w:eastAsia="Times New Roman"/>
          <w:noProof/>
          <w:snapToGrid w:val="0"/>
          <w:szCs w:val="24"/>
        </w:rPr>
        <w:lastRenderedPageBreak/>
        <w:drawing>
          <wp:inline distT="0" distB="0" distL="0" distR="0" wp14:anchorId="3AE1294D" wp14:editId="6AFA3088">
            <wp:extent cx="6120130" cy="399671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120130" cy="3996711"/>
                    </a:xfrm>
                    <a:prstGeom prst="rect">
                      <a:avLst/>
                    </a:prstGeom>
                    <a:noFill/>
                    <a:ln w="9525">
                      <a:noFill/>
                      <a:miter lim="800000"/>
                      <a:headEnd/>
                      <a:tailEnd/>
                    </a:ln>
                  </pic:spPr>
                </pic:pic>
              </a:graphicData>
            </a:graphic>
          </wp:inline>
        </w:drawing>
      </w:r>
    </w:p>
    <w:p w:rsidR="001A6C3F" w:rsidRPr="001A6C3F" w:rsidRDefault="001A6C3F" w:rsidP="001A6C3F">
      <w:pPr>
        <w:widowControl w:val="0"/>
        <w:spacing w:after="0" w:line="240" w:lineRule="auto"/>
        <w:jc w:val="center"/>
        <w:rPr>
          <w:rFonts w:eastAsia="Times New Roman"/>
          <w:snapToGrid w:val="0"/>
          <w:szCs w:val="24"/>
          <w:lang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 xml:space="preserve">Figure 6. Comparison of floor accelerations with response spectrum results </w:t>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 xml:space="preserve">Maximum isolator displacements and base shear coefficients are compared in Figure 7. Isolator displacements are in general between 20-50 cm for MCE and 5 to 25 cm for DBE earthquakes. The results indicate no clear trend; in certain earthquakes, displacements in HDRB model are larger than the MLP ones, in some other cases it is the other way around. The average isolator displacements obtained from MLP are close to the ones obtained from HDRB model for MCE earthquake level. The MLP displacements for DBE case are in the average around 70 percent of HDRB ones. The base shear coefficients change nearly between 5 to 20 percent for DBE and 15 to 35 percent for MCE earthquake sets. Although the trend is similar to the displacement as expected, MLP and HDRB results for base shear coefficients are very close.  </w:t>
      </w: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Cs w:val="24"/>
          <w:lang w:val="en-US" w:eastAsia="en-US"/>
        </w:rPr>
      </w:pPr>
    </w:p>
    <w:p w:rsidR="001A6C3F" w:rsidRPr="001A6C3F" w:rsidRDefault="001A6C3F" w:rsidP="001A6C3F">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6C3F">
        <w:rPr>
          <w:rFonts w:eastAsia="Times New Roman"/>
          <w:b/>
          <w:caps/>
          <w:snapToGrid w:val="0"/>
          <w:szCs w:val="24"/>
          <w:lang w:val="en-US" w:eastAsia="en-US"/>
        </w:rPr>
        <w:t>4. Conclusions</w:t>
      </w:r>
    </w:p>
    <w:p w:rsidR="001A6C3F" w:rsidRPr="001A6C3F" w:rsidRDefault="001A6C3F" w:rsidP="001A6C3F">
      <w:pPr>
        <w:widowControl w:val="0"/>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both"/>
        <w:rPr>
          <w:rFonts w:eastAsia="Times New Roman"/>
          <w:snapToGrid w:val="0"/>
          <w:szCs w:val="24"/>
          <w:lang w:val="en-US" w:eastAsia="en-US"/>
        </w:rPr>
      </w:pPr>
      <w:r w:rsidRPr="001A6C3F">
        <w:rPr>
          <w:rFonts w:eastAsia="Times New Roman"/>
          <w:snapToGrid w:val="0"/>
          <w:szCs w:val="24"/>
          <w:lang w:val="en-US" w:eastAsia="en-US"/>
        </w:rPr>
        <w:t>An analytical study on seismically isolated RC hospital building with high damping rubber bearings using two different types of numerical models were conducted in order to investigate the influence of these models on floor accelerations, isolator displacements and base shear force. One model is based on commonly used multi linear plastic behavior (MLP) and the other model is a specific one developed for HDRB isolators. Nonlinear time history analyses and response spectrum analyses were carried out under seven pairs of ground motion sets applied in two principal directions of the building. The results obtained from nonlinear time history analyses employing these were compared. It was observed that the two modeling approaches lead to significant differences in floor accelerations, HDRB accelerations being smaller than the MLP ones. The difference in isolator displacements were less significant but still crucial for DBE earthquake level. The base shear coefficients obtained from two models were found to be close.  This study indicates that modeling of HDRB isolators is quite important.</w:t>
      </w:r>
    </w:p>
    <w:p w:rsidR="001A6C3F" w:rsidRPr="001A6C3F" w:rsidRDefault="001A6C3F" w:rsidP="001A6C3F">
      <w:pPr>
        <w:spacing w:after="160" w:line="259" w:lineRule="auto"/>
        <w:rPr>
          <w:rFonts w:eastAsia="Times New Roman"/>
          <w:snapToGrid w:val="0"/>
          <w:szCs w:val="24"/>
          <w:lang w:val="en-US" w:eastAsia="en-US"/>
        </w:rPr>
      </w:pPr>
      <w:r w:rsidRPr="001A6C3F">
        <w:rPr>
          <w:rFonts w:eastAsia="Times New Roman"/>
          <w:snapToGrid w:val="0"/>
          <w:szCs w:val="24"/>
          <w:lang w:val="en-US" w:eastAsia="en-US"/>
        </w:rPr>
        <w:br w:type="page"/>
      </w:r>
    </w:p>
    <w:p w:rsidR="001A6C3F" w:rsidRPr="001A6C3F" w:rsidRDefault="001A6C3F" w:rsidP="001A6C3F">
      <w:pPr>
        <w:widowControl w:val="0"/>
        <w:spacing w:after="0" w:line="240" w:lineRule="auto"/>
        <w:jc w:val="center"/>
        <w:rPr>
          <w:rFonts w:eastAsia="Times New Roman"/>
          <w:snapToGrid w:val="0"/>
          <w:szCs w:val="24"/>
          <w:lang w:val="en-US" w:eastAsia="en-US"/>
        </w:rPr>
      </w:pPr>
      <w:r w:rsidRPr="001A6C3F">
        <w:rPr>
          <w:rFonts w:eastAsia="Times New Roman"/>
          <w:noProof/>
          <w:snapToGrid w:val="0"/>
          <w:szCs w:val="24"/>
        </w:rPr>
        <w:lastRenderedPageBreak/>
        <w:drawing>
          <wp:inline distT="0" distB="0" distL="0" distR="0" wp14:anchorId="1B24CF23" wp14:editId="6E2B439C">
            <wp:extent cx="5328383" cy="5932627"/>
            <wp:effectExtent l="19050" t="0" r="5617"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31798" cy="5936430"/>
                    </a:xfrm>
                    <a:prstGeom prst="rect">
                      <a:avLst/>
                    </a:prstGeom>
                    <a:noFill/>
                    <a:ln w="9525">
                      <a:noFill/>
                      <a:miter lim="800000"/>
                      <a:headEnd/>
                      <a:tailEnd/>
                    </a:ln>
                  </pic:spPr>
                </pic:pic>
              </a:graphicData>
            </a:graphic>
          </wp:inline>
        </w:drawing>
      </w:r>
    </w:p>
    <w:p w:rsidR="001A6C3F" w:rsidRPr="001A6C3F" w:rsidRDefault="001A6C3F" w:rsidP="001A6C3F">
      <w:pPr>
        <w:widowControl w:val="0"/>
        <w:tabs>
          <w:tab w:val="left" w:pos="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pacing w:after="0" w:line="240" w:lineRule="auto"/>
        <w:jc w:val="center"/>
        <w:rPr>
          <w:rFonts w:eastAsia="Times New Roman"/>
          <w:snapToGrid w:val="0"/>
          <w:sz w:val="20"/>
          <w:szCs w:val="24"/>
          <w:lang w:val="en-US" w:eastAsia="en-US"/>
        </w:rPr>
      </w:pPr>
      <w:r w:rsidRPr="001A6C3F">
        <w:rPr>
          <w:rFonts w:eastAsia="Times New Roman"/>
          <w:snapToGrid w:val="0"/>
          <w:sz w:val="20"/>
          <w:szCs w:val="24"/>
          <w:lang w:val="en-US" w:eastAsia="en-US"/>
        </w:rPr>
        <w:t>Figure 7. Isolator displacements and Base shear coefficients</w:t>
      </w:r>
    </w:p>
    <w:p w:rsidR="001A6C3F" w:rsidRPr="001A6C3F" w:rsidRDefault="001A6C3F" w:rsidP="001A6C3F">
      <w:pPr>
        <w:widowControl w:val="0"/>
        <w:tabs>
          <w:tab w:val="left" w:pos="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tabs>
          <w:tab w:val="left" w:pos="0"/>
        </w:tabs>
        <w:suppressAutoHyphens/>
        <w:spacing w:after="0" w:line="240" w:lineRule="auto"/>
        <w:jc w:val="both"/>
        <w:rPr>
          <w:rFonts w:eastAsia="Times New Roman"/>
          <w:snapToGrid w:val="0"/>
          <w:szCs w:val="24"/>
          <w:lang w:val="en-US" w:eastAsia="en-US"/>
        </w:rPr>
      </w:pPr>
    </w:p>
    <w:p w:rsidR="001A6C3F" w:rsidRPr="001A6C3F" w:rsidRDefault="001A6C3F" w:rsidP="001A6C3F">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A6C3F">
        <w:rPr>
          <w:rFonts w:eastAsia="Times New Roman"/>
          <w:b/>
          <w:caps/>
          <w:snapToGrid w:val="0"/>
          <w:szCs w:val="24"/>
          <w:lang w:val="en-US" w:eastAsia="en-US"/>
        </w:rPr>
        <w:t>5. References</w:t>
      </w:r>
    </w:p>
    <w:p w:rsidR="001A6C3F" w:rsidRPr="001A6C3F" w:rsidRDefault="001A6C3F" w:rsidP="001A6C3F">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A6C3F" w:rsidRPr="001A6C3F" w:rsidRDefault="001A6C3F" w:rsidP="001A6C3F">
      <w:pPr>
        <w:widowControl w:val="0"/>
        <w:spacing w:after="120" w:line="240" w:lineRule="auto"/>
        <w:jc w:val="both"/>
        <w:rPr>
          <w:rFonts w:eastAsia="Calibri"/>
          <w:snapToGrid w:val="0"/>
          <w:color w:val="000000"/>
          <w:sz w:val="20"/>
          <w:szCs w:val="20"/>
          <w:lang w:val="en-US" w:eastAsia="en-US" w:bidi="en-US"/>
        </w:rPr>
      </w:pPr>
      <w:r w:rsidRPr="001A6C3F">
        <w:rPr>
          <w:rFonts w:eastAsia="Calibri"/>
          <w:snapToGrid w:val="0"/>
          <w:color w:val="000000"/>
          <w:sz w:val="20"/>
          <w:szCs w:val="20"/>
          <w:lang w:val="en-US" w:eastAsia="en-US" w:bidi="en-US"/>
        </w:rPr>
        <w:t xml:space="preserve">N. Masaki, T. Mori, N. Murota, K. Kasai, 2017, “Validation of Hysteresis Model of Deformation-History Integral Type for High Damp-ing Rubber Bearings,” Paper 4583, Proceedings of the 16th World Conference on Earthquake Engineering, Santiago, Chile. </w:t>
      </w:r>
    </w:p>
    <w:p w:rsidR="001A6C3F" w:rsidRPr="001A6C3F" w:rsidRDefault="001A6C3F" w:rsidP="001A6C3F">
      <w:pPr>
        <w:widowControl w:val="0"/>
        <w:spacing w:after="120" w:line="240" w:lineRule="auto"/>
        <w:jc w:val="both"/>
        <w:rPr>
          <w:rFonts w:eastAsia="Calibri"/>
          <w:snapToGrid w:val="0"/>
          <w:color w:val="000000"/>
          <w:sz w:val="20"/>
          <w:szCs w:val="20"/>
          <w:lang w:val="en-US" w:eastAsia="en-US" w:bidi="en-US"/>
        </w:rPr>
      </w:pPr>
      <w:r w:rsidRPr="001A6C3F">
        <w:rPr>
          <w:rFonts w:eastAsia="Calibri"/>
          <w:snapToGrid w:val="0"/>
          <w:color w:val="000000"/>
          <w:sz w:val="20"/>
          <w:szCs w:val="20"/>
          <w:lang w:val="en-US" w:eastAsia="en-US" w:bidi="en-US"/>
        </w:rPr>
        <w:t>Computers and Structures Inc. (2018). CSI Analysis Reference Manual for SAP2000. Berkeley, California, USA</w:t>
      </w:r>
    </w:p>
    <w:p w:rsidR="001A6C3F" w:rsidRPr="001A6C3F" w:rsidRDefault="001A6C3F" w:rsidP="001A6C3F">
      <w:pPr>
        <w:widowControl w:val="0"/>
        <w:spacing w:after="120" w:line="240" w:lineRule="auto"/>
        <w:jc w:val="both"/>
        <w:rPr>
          <w:rFonts w:eastAsia="Calibri"/>
          <w:snapToGrid w:val="0"/>
          <w:color w:val="000000"/>
          <w:sz w:val="20"/>
          <w:szCs w:val="20"/>
          <w:lang w:val="en-US" w:eastAsia="en-US" w:bidi="en-US"/>
        </w:rPr>
      </w:pPr>
      <w:r w:rsidRPr="001A6C3F">
        <w:rPr>
          <w:rFonts w:eastAsia="Calibri"/>
          <w:snapToGrid w:val="0"/>
          <w:color w:val="000000"/>
          <w:sz w:val="20"/>
          <w:szCs w:val="20"/>
          <w:lang w:val="en-US" w:eastAsia="en-US" w:bidi="en-US"/>
        </w:rPr>
        <w:t>ASCE (2010). Minimum Design Loads for Buildings and Other Structures (ASCE 7- 10).</w:t>
      </w:r>
    </w:p>
    <w:p w:rsidR="001A6C3F" w:rsidRPr="001A6C3F" w:rsidRDefault="001A6C3F" w:rsidP="001A6C3F">
      <w:pPr>
        <w:widowControl w:val="0"/>
        <w:spacing w:after="120" w:line="240" w:lineRule="auto"/>
        <w:jc w:val="both"/>
        <w:rPr>
          <w:rFonts w:eastAsia="Calibri"/>
          <w:snapToGrid w:val="0"/>
          <w:color w:val="000000"/>
          <w:sz w:val="20"/>
          <w:szCs w:val="20"/>
          <w:lang w:val="en-US" w:eastAsia="en-US" w:bidi="en-US"/>
        </w:rPr>
      </w:pPr>
      <w:r w:rsidRPr="001A6C3F">
        <w:rPr>
          <w:rFonts w:eastAsia="Calibri"/>
          <w:snapToGrid w:val="0"/>
          <w:color w:val="000000"/>
          <w:sz w:val="20"/>
          <w:szCs w:val="20"/>
          <w:lang w:val="en-US" w:eastAsia="en-US" w:bidi="en-US"/>
        </w:rPr>
        <w:t>TEC (2007). Ministry of Public Works and Settlement Government of Republic of Turkey. Regulations for Buildings to be Built in Earthquake Areas. 2007.</w:t>
      </w:r>
    </w:p>
    <w:p w:rsidR="001A6C3F" w:rsidRPr="001A6C3F" w:rsidRDefault="001A6C3F" w:rsidP="001A6C3F">
      <w:pPr>
        <w:widowControl w:val="0"/>
        <w:spacing w:after="0" w:line="240" w:lineRule="auto"/>
        <w:jc w:val="both"/>
        <w:rPr>
          <w:rFonts w:eastAsia="Calibri"/>
          <w:snapToGrid w:val="0"/>
          <w:color w:val="000000"/>
          <w:sz w:val="20"/>
          <w:szCs w:val="20"/>
          <w:lang w:val="en-US" w:eastAsia="en-US" w:bidi="en-US"/>
        </w:rPr>
      </w:pPr>
      <w:r w:rsidRPr="001A6C3F">
        <w:rPr>
          <w:rFonts w:eastAsia="Calibri"/>
          <w:snapToGrid w:val="0"/>
          <w:color w:val="000000"/>
          <w:sz w:val="20"/>
          <w:szCs w:val="20"/>
          <w:lang w:val="en-US" w:eastAsia="en-US" w:bidi="en-US"/>
        </w:rPr>
        <w:t>TEC (2018). Turkish Building Earthquake Code. Ministry of Interior. Presidency of Disaster and Emergency Management. 2019.</w:t>
      </w:r>
    </w:p>
    <w:p w:rsidR="006B3BBD" w:rsidRPr="0013217D" w:rsidRDefault="006B3BBD" w:rsidP="0013217D">
      <w:pPr>
        <w:spacing w:line="240" w:lineRule="auto"/>
        <w:jc w:val="both"/>
      </w:pPr>
    </w:p>
    <w:sectPr w:rsidR="006B3BBD" w:rsidRPr="0013217D" w:rsidSect="001A6C3F">
      <w:headerReference w:type="default" r:id="rId15"/>
      <w:footerReference w:type="default" r:id="rId16"/>
      <w:headerReference w:type="first" r:id="rId17"/>
      <w:footerReference w:type="first" r:id="rId18"/>
      <w:pgSz w:w="11906" w:h="16838"/>
      <w:pgMar w:top="1418" w:right="1134" w:bottom="1418" w:left="1134" w:header="709" w:footer="709" w:gutter="0"/>
      <w:pgNumType w:start="90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0E" w:rsidRDefault="00780A0E" w:rsidP="0013217D">
      <w:pPr>
        <w:spacing w:after="0" w:line="240" w:lineRule="auto"/>
      </w:pPr>
      <w:r>
        <w:separator/>
      </w:r>
    </w:p>
  </w:endnote>
  <w:endnote w:type="continuationSeparator" w:id="0">
    <w:p w:rsidR="00780A0E" w:rsidRDefault="00780A0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Yu Gothic">
    <w:altName w:val="游ゴシック"/>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271297"/>
      <w:docPartObj>
        <w:docPartGallery w:val="Page Numbers (Bottom of Page)"/>
        <w:docPartUnique/>
      </w:docPartObj>
    </w:sdtPr>
    <w:sdtEndPr/>
    <w:sdtContent>
      <w:p w:rsidR="001A6C3F" w:rsidRDefault="001A6C3F">
        <w:pPr>
          <w:pStyle w:val="a5"/>
          <w:jc w:val="center"/>
        </w:pPr>
        <w:r>
          <w:fldChar w:fldCharType="begin"/>
        </w:r>
        <w:r>
          <w:instrText>PAGE   \* MERGEFORMAT</w:instrText>
        </w:r>
        <w:r>
          <w:fldChar w:fldCharType="separate"/>
        </w:r>
        <w:r w:rsidR="00323B8C">
          <w:rPr>
            <w:noProof/>
          </w:rPr>
          <w:t>909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523056"/>
      <w:docPartObj>
        <w:docPartGallery w:val="Page Numbers (Bottom of Page)"/>
        <w:docPartUnique/>
      </w:docPartObj>
    </w:sdtPr>
    <w:sdtEndPr/>
    <w:sdtContent>
      <w:p w:rsidR="001A6C3F" w:rsidRDefault="001A6C3F">
        <w:pPr>
          <w:pStyle w:val="a5"/>
          <w:jc w:val="center"/>
        </w:pPr>
        <w:r>
          <w:fldChar w:fldCharType="begin"/>
        </w:r>
        <w:r>
          <w:instrText>PAGE   \* MERGEFORMAT</w:instrText>
        </w:r>
        <w:r>
          <w:fldChar w:fldCharType="separate"/>
        </w:r>
        <w:r w:rsidR="00323B8C">
          <w:rPr>
            <w:noProof/>
          </w:rPr>
          <w:t>902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0E" w:rsidRDefault="00780A0E" w:rsidP="0013217D">
      <w:pPr>
        <w:spacing w:after="0" w:line="240" w:lineRule="auto"/>
      </w:pPr>
      <w:r>
        <w:separator/>
      </w:r>
    </w:p>
  </w:footnote>
  <w:footnote w:type="continuationSeparator" w:id="0">
    <w:p w:rsidR="00780A0E" w:rsidRDefault="00780A0E" w:rsidP="0013217D">
      <w:pPr>
        <w:spacing w:after="0" w:line="240" w:lineRule="auto"/>
      </w:pPr>
      <w:r>
        <w:continuationSeparator/>
      </w:r>
    </w:p>
  </w:footnote>
  <w:footnote w:id="1">
    <w:p w:rsidR="001A6C3F" w:rsidRPr="001A6C3F" w:rsidRDefault="001A6C3F" w:rsidP="001A6C3F">
      <w:pPr>
        <w:pStyle w:val="a9"/>
        <w:rPr>
          <w:lang w:val="en-US"/>
        </w:rPr>
      </w:pPr>
      <w:r>
        <w:rPr>
          <w:rStyle w:val="ad"/>
        </w:rPr>
        <w:footnoteRef/>
      </w:r>
      <w:r w:rsidRPr="001A6C3F">
        <w:rPr>
          <w:rStyle w:val="ac"/>
          <w:lang w:val="en-US"/>
        </w:rPr>
        <w:t>Professor, Middle East Technical University, Ankara, Turkey,</w:t>
      </w:r>
      <w:r w:rsidRPr="001A6C3F">
        <w:rPr>
          <w:lang w:val="en-US"/>
        </w:rPr>
        <w:t xml:space="preserve"> </w:t>
      </w:r>
      <w:hyperlink r:id="rId1" w:history="1">
        <w:r w:rsidRPr="001A6C3F">
          <w:rPr>
            <w:rStyle w:val="1"/>
            <w:lang w:val="en-US"/>
          </w:rPr>
          <w:t>ayakut@metu.edu.tr</w:t>
        </w:r>
      </w:hyperlink>
      <w:r w:rsidRPr="001A6C3F">
        <w:rPr>
          <w:lang w:val="en-US"/>
        </w:rPr>
        <w:t xml:space="preserve"> </w:t>
      </w:r>
    </w:p>
  </w:footnote>
  <w:footnote w:id="2">
    <w:p w:rsidR="001A6C3F" w:rsidRPr="001A6C3F" w:rsidRDefault="001A6C3F" w:rsidP="001A6C3F">
      <w:pPr>
        <w:pStyle w:val="ab"/>
        <w:rPr>
          <w:lang w:val="en-US"/>
        </w:rPr>
      </w:pPr>
      <w:r>
        <w:rPr>
          <w:rStyle w:val="ad"/>
        </w:rPr>
        <w:footnoteRef/>
      </w:r>
      <w:r w:rsidRPr="001A6C3F">
        <w:rPr>
          <w:lang w:val="en-US"/>
        </w:rPr>
        <w:t xml:space="preserve"> Professor, Middle East Technical University, Ankara, Turkey</w:t>
      </w:r>
    </w:p>
  </w:footnote>
  <w:footnote w:id="3">
    <w:p w:rsidR="001A6C3F" w:rsidRPr="001A6C3F" w:rsidRDefault="001A6C3F" w:rsidP="001A6C3F">
      <w:pPr>
        <w:pStyle w:val="ab"/>
        <w:rPr>
          <w:lang w:val="en-US"/>
        </w:rPr>
      </w:pPr>
      <w:r>
        <w:rPr>
          <w:rStyle w:val="ad"/>
        </w:rPr>
        <w:footnoteRef/>
      </w:r>
      <w:r w:rsidRPr="001A6C3F">
        <w:rPr>
          <w:lang w:val="en-US"/>
        </w:rPr>
        <w:t xml:space="preserve">Graduate Student, Department of Civil Engineering, METU, Ankara , Turkey, </w:t>
      </w:r>
      <w:hyperlink r:id="rId2" w:history="1">
        <w:r w:rsidRPr="001A6C3F">
          <w:rPr>
            <w:rStyle w:val="1"/>
            <w:lang w:val="en-US"/>
          </w:rPr>
          <w:t>eser.cabuk@metu.edu.tr</w:t>
        </w:r>
      </w:hyperlink>
      <w:r w:rsidRPr="001A6C3F">
        <w:rPr>
          <w:lang w:val="en-US"/>
        </w:rPr>
        <w:t xml:space="preserve"> </w:t>
      </w:r>
    </w:p>
  </w:footnote>
  <w:footnote w:id="4">
    <w:p w:rsidR="001A6C3F" w:rsidRPr="001A6C3F" w:rsidRDefault="001A6C3F" w:rsidP="001A6C3F">
      <w:pPr>
        <w:pStyle w:val="ab"/>
        <w:rPr>
          <w:lang w:val="en-US"/>
        </w:rPr>
      </w:pPr>
      <w:r>
        <w:rPr>
          <w:rStyle w:val="ad"/>
        </w:rPr>
        <w:footnoteRef/>
      </w:r>
      <w:r w:rsidRPr="001A6C3F">
        <w:rPr>
          <w:lang w:val="en-US"/>
        </w:rPr>
        <w:t xml:space="preserve"> Bridgestone Corporation, </w:t>
      </w:r>
      <w:r w:rsidRPr="001A6C3F">
        <w:rPr>
          <w:rFonts w:eastAsia="Yu Gothic"/>
          <w:lang w:val="en-US" w:eastAsia="ja-JP"/>
        </w:rPr>
        <w:t>Seismic Isolation and Vibration Control Products Development Department</w:t>
      </w:r>
      <w:r w:rsidRPr="001A6C3F">
        <w:rPr>
          <w:lang w:val="en-US"/>
        </w:rPr>
        <w:t xml:space="preserve">, Yokohama, Japan, </w:t>
      </w:r>
      <w:hyperlink r:id="rId3" w:history="1">
        <w:r w:rsidRPr="001A6C3F">
          <w:rPr>
            <w:rStyle w:val="1"/>
            <w:lang w:val="en-US"/>
          </w:rPr>
          <w:t>nobuo.murota@bridgestone.com</w:t>
        </w:r>
      </w:hyperlink>
    </w:p>
  </w:footnote>
  <w:footnote w:id="5">
    <w:p w:rsidR="001A6C3F" w:rsidRPr="001A6C3F" w:rsidRDefault="001A6C3F" w:rsidP="001A6C3F">
      <w:pPr>
        <w:pStyle w:val="ab"/>
        <w:rPr>
          <w:lang w:val="en-US"/>
        </w:rPr>
      </w:pPr>
      <w:r>
        <w:rPr>
          <w:rStyle w:val="ad"/>
        </w:rPr>
        <w:footnoteRef/>
      </w:r>
      <w:r w:rsidRPr="001A6C3F">
        <w:rPr>
          <w:lang w:val="en-US"/>
        </w:rPr>
        <w:t xml:space="preserve"> Bridgestone Corporation, </w:t>
      </w:r>
      <w:r w:rsidRPr="001A6C3F">
        <w:rPr>
          <w:rFonts w:eastAsia="Yu Gothic"/>
          <w:lang w:val="en-US" w:eastAsia="ja-JP"/>
        </w:rPr>
        <w:t>Seismic Isolation and Vibration Control Products Development Department</w:t>
      </w:r>
      <w:r w:rsidRPr="001A6C3F">
        <w:rPr>
          <w:lang w:val="en-US"/>
        </w:rPr>
        <w:t>, Yokohama, Japan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CF5525C" wp14:editId="6A657C65">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3F"/>
    <w:rsid w:val="000D7B9B"/>
    <w:rsid w:val="0013217D"/>
    <w:rsid w:val="001A6C3F"/>
    <w:rsid w:val="00254B4D"/>
    <w:rsid w:val="00323B8C"/>
    <w:rsid w:val="006323CD"/>
    <w:rsid w:val="006B3BBD"/>
    <w:rsid w:val="00780A0E"/>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A6C3F"/>
    <w:pPr>
      <w:spacing w:after="0" w:line="240" w:lineRule="auto"/>
    </w:pPr>
    <w:rPr>
      <w:sz w:val="20"/>
      <w:szCs w:val="20"/>
    </w:rPr>
  </w:style>
  <w:style w:type="character" w:customStyle="1" w:styleId="aa">
    <w:name w:val="Текст концевой сноски Знак"/>
    <w:basedOn w:val="a0"/>
    <w:link w:val="a9"/>
    <w:uiPriority w:val="99"/>
    <w:semiHidden/>
    <w:rsid w:val="001A6C3F"/>
    <w:rPr>
      <w:sz w:val="20"/>
      <w:szCs w:val="20"/>
    </w:rPr>
  </w:style>
  <w:style w:type="paragraph" w:styleId="ab">
    <w:name w:val="footnote text"/>
    <w:basedOn w:val="a"/>
    <w:link w:val="ac"/>
    <w:uiPriority w:val="99"/>
    <w:semiHidden/>
    <w:unhideWhenUsed/>
    <w:rsid w:val="001A6C3F"/>
    <w:pPr>
      <w:spacing w:after="0" w:line="240" w:lineRule="auto"/>
    </w:pPr>
    <w:rPr>
      <w:sz w:val="20"/>
      <w:szCs w:val="20"/>
    </w:rPr>
  </w:style>
  <w:style w:type="character" w:customStyle="1" w:styleId="ac">
    <w:name w:val="Текст сноски Знак"/>
    <w:basedOn w:val="a0"/>
    <w:link w:val="ab"/>
    <w:rsid w:val="001A6C3F"/>
    <w:rPr>
      <w:sz w:val="20"/>
      <w:szCs w:val="20"/>
    </w:rPr>
  </w:style>
  <w:style w:type="character" w:styleId="ad">
    <w:name w:val="footnote reference"/>
    <w:basedOn w:val="a0"/>
    <w:semiHidden/>
    <w:rsid w:val="001A6C3F"/>
    <w:rPr>
      <w:rFonts w:ascii="Times New Roman" w:hAnsi="Times New Roman"/>
      <w:sz w:val="22"/>
      <w:vertAlign w:val="superscript"/>
    </w:rPr>
  </w:style>
  <w:style w:type="character" w:customStyle="1" w:styleId="1">
    <w:name w:val="Гиперссылка1"/>
    <w:basedOn w:val="a0"/>
    <w:rsid w:val="001A6C3F"/>
    <w:rPr>
      <w:rFonts w:ascii="Times New Roman" w:hAnsi="Times New Roman"/>
      <w:color w:val="0000FF"/>
      <w:sz w:val="20"/>
      <w:u w:val="single"/>
    </w:rPr>
  </w:style>
  <w:style w:type="table" w:customStyle="1" w:styleId="4">
    <w:name w:val="Сетка таблицы4"/>
    <w:basedOn w:val="a1"/>
    <w:next w:val="ae"/>
    <w:uiPriority w:val="59"/>
    <w:rsid w:val="001A6C3F"/>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1A6C3F"/>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e">
    <w:name w:val="Table Grid"/>
    <w:basedOn w:val="a1"/>
    <w:uiPriority w:val="59"/>
    <w:rsid w:val="001A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A6C3F"/>
    <w:pPr>
      <w:spacing w:after="0" w:line="240" w:lineRule="auto"/>
    </w:pPr>
    <w:rPr>
      <w:sz w:val="20"/>
      <w:szCs w:val="20"/>
    </w:rPr>
  </w:style>
  <w:style w:type="character" w:customStyle="1" w:styleId="aa">
    <w:name w:val="Текст концевой сноски Знак"/>
    <w:basedOn w:val="a0"/>
    <w:link w:val="a9"/>
    <w:uiPriority w:val="99"/>
    <w:semiHidden/>
    <w:rsid w:val="001A6C3F"/>
    <w:rPr>
      <w:sz w:val="20"/>
      <w:szCs w:val="20"/>
    </w:rPr>
  </w:style>
  <w:style w:type="paragraph" w:styleId="ab">
    <w:name w:val="footnote text"/>
    <w:basedOn w:val="a"/>
    <w:link w:val="ac"/>
    <w:uiPriority w:val="99"/>
    <w:semiHidden/>
    <w:unhideWhenUsed/>
    <w:rsid w:val="001A6C3F"/>
    <w:pPr>
      <w:spacing w:after="0" w:line="240" w:lineRule="auto"/>
    </w:pPr>
    <w:rPr>
      <w:sz w:val="20"/>
      <w:szCs w:val="20"/>
    </w:rPr>
  </w:style>
  <w:style w:type="character" w:customStyle="1" w:styleId="ac">
    <w:name w:val="Текст сноски Знак"/>
    <w:basedOn w:val="a0"/>
    <w:link w:val="ab"/>
    <w:rsid w:val="001A6C3F"/>
    <w:rPr>
      <w:sz w:val="20"/>
      <w:szCs w:val="20"/>
    </w:rPr>
  </w:style>
  <w:style w:type="character" w:styleId="ad">
    <w:name w:val="footnote reference"/>
    <w:basedOn w:val="a0"/>
    <w:semiHidden/>
    <w:rsid w:val="001A6C3F"/>
    <w:rPr>
      <w:rFonts w:ascii="Times New Roman" w:hAnsi="Times New Roman"/>
      <w:sz w:val="22"/>
      <w:vertAlign w:val="superscript"/>
    </w:rPr>
  </w:style>
  <w:style w:type="character" w:customStyle="1" w:styleId="1">
    <w:name w:val="Гиперссылка1"/>
    <w:basedOn w:val="a0"/>
    <w:rsid w:val="001A6C3F"/>
    <w:rPr>
      <w:rFonts w:ascii="Times New Roman" w:hAnsi="Times New Roman"/>
      <w:color w:val="0000FF"/>
      <w:sz w:val="20"/>
      <w:u w:val="single"/>
    </w:rPr>
  </w:style>
  <w:style w:type="table" w:customStyle="1" w:styleId="4">
    <w:name w:val="Сетка таблицы4"/>
    <w:basedOn w:val="a1"/>
    <w:next w:val="ae"/>
    <w:uiPriority w:val="59"/>
    <w:rsid w:val="001A6C3F"/>
    <w:pPr>
      <w:spacing w:after="0" w:line="240" w:lineRule="auto"/>
    </w:pPr>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a1"/>
    <w:uiPriority w:val="60"/>
    <w:rsid w:val="001A6C3F"/>
    <w:pPr>
      <w:spacing w:after="0" w:line="240" w:lineRule="auto"/>
    </w:pPr>
    <w:rPr>
      <w:rFonts w:ascii="Calibri" w:eastAsia="Times New Roman"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e">
    <w:name w:val="Table Grid"/>
    <w:basedOn w:val="a1"/>
    <w:uiPriority w:val="59"/>
    <w:rsid w:val="001A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s>
</file>

<file path=word/_rels/footnotes.xml.rels><?xml version="1.0" encoding="UTF-8" standalone="yes"?>
<Relationships xmlns="http://schemas.openxmlformats.org/package/2006/relationships"><Relationship Id="rId3" Type="http://schemas.openxmlformats.org/officeDocument/2006/relationships/hyperlink" Target="mailto:emailaddress@canterbury.ac.nz" TargetMode="External"/><Relationship Id="rId2" Type="http://schemas.openxmlformats.org/officeDocument/2006/relationships/hyperlink" Target="mailto:emailaddress@canterbury.ac.nz" TargetMode="External"/><Relationship Id="rId1" Type="http://schemas.openxmlformats.org/officeDocument/2006/relationships/hyperlink" Target="mailto:emailaddress1@canterbury.ac.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8</Pages>
  <Words>2112</Words>
  <Characters>12045</Characters>
  <Application>Microsoft Office Word</Application>
  <DocSecurity>0</DocSecurity>
  <Lines>100</Lines>
  <Paragraphs>28</Paragraphs>
  <ScaleCrop>false</ScaleCrop>
  <Company>diakov.net</Company>
  <LinksUpToDate>false</LinksUpToDate>
  <CharactersWithSpaces>14129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2020-06-27T14:21:00Z</dcterms:created>
  <dcterms:modified xsi:type="dcterms:W3CDTF">2021-05-12T15:25:00Z</dcterms:modified>
</cp:coreProperties>
</file>