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D4" w:rsidRPr="00971AD4" w:rsidRDefault="00971AD4" w:rsidP="00971AD4">
      <w:pPr>
        <w:widowControl w:val="0"/>
        <w:jc w:val="center"/>
        <w:outlineLvl w:val="0"/>
        <w:rPr>
          <w:rFonts w:eastAsia="Times New Roman"/>
          <w:b/>
          <w:caps/>
          <w:snapToGrid w:val="0"/>
          <w:sz w:val="28"/>
          <w:szCs w:val="24"/>
          <w:lang w:val="en-US" w:eastAsia="en-US"/>
        </w:rPr>
      </w:pPr>
      <w:bookmarkStart w:id="0" w:name="_GoBack"/>
      <w:bookmarkEnd w:id="0"/>
    </w:p>
    <w:p w:rsidR="00971AD4" w:rsidRPr="00971AD4" w:rsidRDefault="00971AD4" w:rsidP="00971AD4">
      <w:pPr>
        <w:widowControl w:val="0"/>
        <w:jc w:val="center"/>
        <w:outlineLvl w:val="0"/>
        <w:rPr>
          <w:rFonts w:eastAsia="SimSun"/>
          <w:b/>
          <w:caps/>
          <w:snapToGrid w:val="0"/>
          <w:sz w:val="28"/>
          <w:szCs w:val="24"/>
          <w:lang w:val="en-US" w:eastAsia="en-US"/>
        </w:rPr>
      </w:pPr>
    </w:p>
    <w:p w:rsidR="00971AD4" w:rsidRPr="00971AD4" w:rsidRDefault="00971AD4" w:rsidP="00971AD4">
      <w:pPr>
        <w:widowControl w:val="0"/>
        <w:jc w:val="center"/>
        <w:outlineLvl w:val="0"/>
        <w:rPr>
          <w:rFonts w:eastAsia="Times New Roman"/>
          <w:b/>
          <w:caps/>
          <w:snapToGrid w:val="0"/>
          <w:sz w:val="28"/>
          <w:szCs w:val="24"/>
          <w:lang w:val="en-US" w:eastAsia="en-US"/>
        </w:rPr>
      </w:pPr>
      <w:r w:rsidRPr="00971AD4">
        <w:rPr>
          <w:rFonts w:eastAsia="Times New Roman"/>
          <w:b/>
          <w:caps/>
          <w:snapToGrid w:val="0"/>
          <w:sz w:val="28"/>
          <w:szCs w:val="24"/>
          <w:lang w:val="en-US" w:eastAsia="en-US"/>
        </w:rPr>
        <w:t>INVESTIGATION ON THE EFFECTIVENESS OF DAMPERS FOR RETROFITTING THROUGH SEISMIC RESPONSE ANALYSES UNDER REAL AND SIMULATED MOTIONS</w:t>
      </w:r>
    </w:p>
    <w:p w:rsidR="00971AD4" w:rsidRPr="00971AD4" w:rsidRDefault="00971AD4" w:rsidP="00971AD4">
      <w:pPr>
        <w:widowControl w:val="0"/>
        <w:rPr>
          <w:rFonts w:eastAsia="SimSun"/>
          <w:snapToGrid w:val="0"/>
          <w:szCs w:val="24"/>
          <w:lang w:val="en-US" w:eastAsia="en-US"/>
        </w:rPr>
      </w:pPr>
    </w:p>
    <w:p w:rsidR="00971AD4" w:rsidRPr="00971AD4" w:rsidRDefault="00971AD4" w:rsidP="00971AD4">
      <w:pPr>
        <w:widowControl w:val="0"/>
        <w:rPr>
          <w:rFonts w:eastAsia="Times New Roman"/>
          <w:b/>
          <w:snapToGrid w:val="0"/>
          <w:color w:val="333333"/>
          <w:sz w:val="28"/>
          <w:szCs w:val="28"/>
          <w:shd w:val="clear" w:color="auto" w:fill="FFFFFF"/>
          <w:lang w:val="en-US" w:eastAsia="en-US"/>
        </w:rPr>
      </w:pPr>
      <w:r w:rsidRPr="00971AD4">
        <w:rPr>
          <w:rFonts w:eastAsia="Times New Roman"/>
          <w:b/>
          <w:snapToGrid w:val="0"/>
          <w:sz w:val="28"/>
          <w:szCs w:val="28"/>
          <w:lang w:val="en-US" w:eastAsia="en-US"/>
        </w:rPr>
        <w:t xml:space="preserve">DOI </w:t>
      </w:r>
      <w:r w:rsidR="000556A2">
        <w:rPr>
          <w:rFonts w:eastAsia="Times New Roman"/>
          <w:b/>
          <w:snapToGrid w:val="0"/>
          <w:color w:val="333333"/>
          <w:sz w:val="28"/>
          <w:szCs w:val="28"/>
          <w:shd w:val="clear" w:color="auto" w:fill="FFFFFF"/>
          <w:lang w:val="en-US" w:eastAsia="en-US"/>
        </w:rPr>
        <w:t>10.37153</w:t>
      </w:r>
      <w:r w:rsidRPr="00971AD4">
        <w:rPr>
          <w:rFonts w:eastAsia="Times New Roman"/>
          <w:b/>
          <w:snapToGrid w:val="0"/>
          <w:color w:val="333333"/>
          <w:sz w:val="28"/>
          <w:szCs w:val="28"/>
          <w:shd w:val="clear" w:color="auto" w:fill="FFFFFF"/>
          <w:lang w:val="en-US" w:eastAsia="en-US"/>
        </w:rPr>
        <w:t>/2686-7974-2019-16-1132-1132</w:t>
      </w:r>
    </w:p>
    <w:p w:rsidR="00971AD4" w:rsidRPr="00971AD4" w:rsidRDefault="00971AD4" w:rsidP="00971AD4">
      <w:pPr>
        <w:widowControl w:val="0"/>
        <w:rPr>
          <w:snapToGrid w:val="0"/>
          <w:szCs w:val="24"/>
          <w:lang w:val="en-US" w:eastAsia="zh-CN"/>
        </w:rPr>
      </w:pPr>
    </w:p>
    <w:p w:rsidR="00971AD4" w:rsidRPr="00971AD4" w:rsidRDefault="00971AD4" w:rsidP="00971AD4">
      <w:pPr>
        <w:widowControl w:val="0"/>
        <w:rPr>
          <w:snapToGrid w:val="0"/>
          <w:szCs w:val="24"/>
          <w:lang w:val="en-US" w:eastAsia="zh-CN"/>
        </w:rPr>
      </w:pPr>
    </w:p>
    <w:p w:rsidR="00971AD4" w:rsidRPr="00971AD4" w:rsidRDefault="00971AD4" w:rsidP="00971AD4">
      <w:pPr>
        <w:widowControl w:val="0"/>
        <w:suppressAutoHyphens/>
        <w:jc w:val="center"/>
        <w:rPr>
          <w:rFonts w:eastAsia="Times New Roman"/>
          <w:szCs w:val="24"/>
          <w:lang w:val="en-US" w:eastAsia="en-US"/>
        </w:rPr>
      </w:pPr>
      <w:r w:rsidRPr="00971AD4">
        <w:rPr>
          <w:rFonts w:eastAsia="Times New Roman"/>
          <w:szCs w:val="24"/>
          <w:lang w:val="en-US" w:eastAsia="en-US"/>
        </w:rPr>
        <w:t>Nefize Shaban</w:t>
      </w:r>
      <w:r w:rsidRPr="00971AD4">
        <w:rPr>
          <w:rFonts w:eastAsia="Times New Roman"/>
          <w:sz w:val="28"/>
          <w:szCs w:val="28"/>
          <w:vertAlign w:val="superscript"/>
          <w:lang w:val="en-US" w:eastAsia="en-US"/>
        </w:rPr>
        <w:footnoteReference w:id="1"/>
      </w:r>
      <w:r w:rsidRPr="00971AD4">
        <w:rPr>
          <w:rFonts w:eastAsia="Times New Roman"/>
          <w:szCs w:val="24"/>
          <w:lang w:val="en-US" w:eastAsia="en-US"/>
        </w:rPr>
        <w:t>, Shaghayegh Karimzadeh</w:t>
      </w:r>
      <w:r w:rsidRPr="00971AD4">
        <w:rPr>
          <w:rFonts w:eastAsia="Times New Roman"/>
          <w:sz w:val="28"/>
          <w:szCs w:val="28"/>
          <w:vertAlign w:val="superscript"/>
          <w:lang w:val="en-US" w:eastAsia="en-US"/>
        </w:rPr>
        <w:footnoteReference w:id="2"/>
      </w:r>
      <w:r w:rsidRPr="00971AD4">
        <w:rPr>
          <w:rFonts w:eastAsia="Times New Roman"/>
          <w:szCs w:val="24"/>
          <w:lang w:val="en-US" w:eastAsia="en-US"/>
        </w:rPr>
        <w:t>, Aysegul Askan</w:t>
      </w:r>
      <w:r w:rsidRPr="00971AD4">
        <w:rPr>
          <w:rFonts w:eastAsia="Times New Roman"/>
          <w:sz w:val="28"/>
          <w:szCs w:val="28"/>
          <w:vertAlign w:val="superscript"/>
          <w:lang w:val="en-US" w:eastAsia="en-US"/>
        </w:rPr>
        <w:footnoteReference w:id="3"/>
      </w:r>
    </w:p>
    <w:p w:rsidR="00971AD4" w:rsidRPr="00971AD4" w:rsidRDefault="00971AD4" w:rsidP="00971AD4">
      <w:pPr>
        <w:widowControl w:val="0"/>
        <w:rPr>
          <w:rFonts w:eastAsia="Times New Roman"/>
          <w:snapToGrid w:val="0"/>
          <w:szCs w:val="24"/>
          <w:lang w:val="en-US" w:eastAsia="en-US"/>
        </w:rPr>
      </w:pPr>
    </w:p>
    <w:p w:rsidR="00971AD4" w:rsidRPr="00971AD4" w:rsidRDefault="00971AD4" w:rsidP="00971AD4">
      <w:pPr>
        <w:widowControl w:val="0"/>
        <w:rPr>
          <w:rFonts w:eastAsia="Times New Roman"/>
          <w:snapToGrid w:val="0"/>
          <w:szCs w:val="24"/>
          <w:lang w:val="en-US" w:eastAsia="en-US"/>
        </w:rPr>
      </w:pPr>
    </w:p>
    <w:p w:rsidR="00971AD4" w:rsidRPr="00971AD4" w:rsidRDefault="00971AD4" w:rsidP="00971AD4">
      <w:pPr>
        <w:widowControl w:val="0"/>
        <w:jc w:val="center"/>
        <w:outlineLvl w:val="0"/>
        <w:rPr>
          <w:rFonts w:eastAsia="Times New Roman"/>
          <w:b/>
          <w:caps/>
          <w:snapToGrid w:val="0"/>
          <w:kern w:val="28"/>
          <w:szCs w:val="24"/>
          <w:lang w:val="en-US" w:eastAsia="en-US"/>
        </w:rPr>
      </w:pPr>
      <w:r w:rsidRPr="00971AD4">
        <w:rPr>
          <w:rFonts w:eastAsia="Times New Roman"/>
          <w:b/>
          <w:caps/>
          <w:snapToGrid w:val="0"/>
          <w:kern w:val="28"/>
          <w:szCs w:val="24"/>
          <w:lang w:val="en-US" w:eastAsia="en-US"/>
        </w:rPr>
        <w:t>ABSTRACT</w:t>
      </w:r>
    </w:p>
    <w:p w:rsidR="00971AD4" w:rsidRPr="00971AD4" w:rsidRDefault="00971AD4" w:rsidP="00971AD4">
      <w:pPr>
        <w:widowControl w:val="0"/>
        <w:suppressAutoHyphens/>
        <w:rPr>
          <w:rFonts w:eastAsia="Times New Roman"/>
          <w:sz w:val="20"/>
          <w:szCs w:val="24"/>
          <w:lang w:val="en-US" w:eastAsia="en-US"/>
        </w:rPr>
      </w:pPr>
    </w:p>
    <w:p w:rsidR="00971AD4" w:rsidRPr="00971AD4" w:rsidRDefault="00971AD4" w:rsidP="00971AD4">
      <w:pPr>
        <w:widowControl w:val="0"/>
        <w:suppressAutoHyphens/>
        <w:rPr>
          <w:rFonts w:eastAsia="Times New Roman"/>
          <w:sz w:val="20"/>
          <w:szCs w:val="24"/>
          <w:lang w:val="en-US" w:eastAsia="en-US"/>
        </w:rPr>
      </w:pPr>
      <w:r w:rsidRPr="00971AD4">
        <w:rPr>
          <w:rFonts w:eastAsia="Times New Roman"/>
          <w:sz w:val="20"/>
          <w:szCs w:val="24"/>
          <w:lang w:val="en-US" w:eastAsia="en-US"/>
        </w:rPr>
        <w:t xml:space="preserve">Earthquakes are among the most destructive natural hazards to the built environment resulting in economic losses as well as fatalities. Recently, many studies are focused on reducing the potential loss induced by ground shaking to the built environment. A recent and reliable tool to mitigate the potential risk is the implementation of dampers. The effect of dampers varies depending on the building seismic hazard, dynamic properties, and damper parameters. In this study, the effect of dampers is investigated for the case of a mid-rise building under a selected set of earthquake ground motions. The selected building is a 7-story 3-bay reinforced concrete frame structure where the dampers are installed for retrofitting purposes. The set of ground motion records includes both real and simulated records of the 1999 Duzce (Turkey) earthquake with Mw=7.1. The simulated ground motion records are generated with stochastic finite-fault technique with dynamic corner frequency approach. The structure’s numerical model is built in OpenSees finite-element analysis software and its response to earthquakes is simulated through nonlinear time history analysis. The analysis results are investigated in terms of the maximum drift ratio of the frames to observe the effectiveness of dampers. The responses under simulated records are also compared against the real responses in order to comment on the future use of simulated motions in damped buildings. </w:t>
      </w:r>
    </w:p>
    <w:p w:rsidR="00971AD4" w:rsidRPr="00971AD4" w:rsidRDefault="00971AD4" w:rsidP="00971AD4">
      <w:pPr>
        <w:widowControl w:val="0"/>
        <w:suppressAutoHyphens/>
        <w:rPr>
          <w:rFonts w:eastAsia="Times New Roman"/>
          <w:sz w:val="20"/>
          <w:szCs w:val="24"/>
          <w:lang w:val="en-US" w:eastAsia="en-US"/>
        </w:rPr>
      </w:pPr>
    </w:p>
    <w:p w:rsidR="00971AD4" w:rsidRPr="00971AD4" w:rsidRDefault="00971AD4" w:rsidP="00971AD4">
      <w:pPr>
        <w:widowControl w:val="0"/>
        <w:suppressAutoHyphens/>
        <w:rPr>
          <w:rFonts w:eastAsia="Times New Roman"/>
          <w:i/>
          <w:sz w:val="20"/>
          <w:szCs w:val="24"/>
          <w:lang w:val="en-US" w:eastAsia="en-US"/>
        </w:rPr>
      </w:pPr>
      <w:r w:rsidRPr="00971AD4">
        <w:rPr>
          <w:rFonts w:eastAsia="Times New Roman"/>
          <w:i/>
          <w:sz w:val="20"/>
          <w:szCs w:val="24"/>
          <w:lang w:val="en-US" w:eastAsia="en-US"/>
        </w:rPr>
        <w:t>Keywords: Dampers, reinforced concrete frame structure, real records, stochastic Finite-Fault ground motion simulation technique, the 1999 Duzce (Turkey) earthquake (Mw=7.1)</w:t>
      </w:r>
    </w:p>
    <w:p w:rsidR="00971AD4" w:rsidRPr="00971AD4" w:rsidRDefault="00971AD4" w:rsidP="00971AD4">
      <w:pPr>
        <w:widowControl w:val="0"/>
        <w:rPr>
          <w:rFonts w:eastAsia="Times New Roman"/>
          <w:snapToGrid w:val="0"/>
          <w:szCs w:val="24"/>
          <w:lang w:val="en-US" w:eastAsia="en-US"/>
        </w:rPr>
      </w:pPr>
    </w:p>
    <w:p w:rsidR="00C331AE" w:rsidRPr="00971AD4" w:rsidRDefault="00C331AE" w:rsidP="00EF1DDD">
      <w:pPr>
        <w:rPr>
          <w:lang w:val="en-US"/>
        </w:rPr>
      </w:pPr>
    </w:p>
    <w:sectPr w:rsidR="00C331AE" w:rsidRPr="00971AD4" w:rsidSect="0030055C">
      <w:headerReference w:type="even" r:id="rId7"/>
      <w:headerReference w:type="default" r:id="rId8"/>
      <w:footerReference w:type="even" r:id="rId9"/>
      <w:footerReference w:type="default" r:id="rId10"/>
      <w:headerReference w:type="first" r:id="rId11"/>
      <w:footerReference w:type="first" r:id="rId12"/>
      <w:pgSz w:w="11906" w:h="16838"/>
      <w:pgMar w:top="1418" w:right="1134" w:bottom="1418" w:left="1134" w:header="709" w:footer="709" w:gutter="0"/>
      <w:pgNumType w:start="113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CE" w:rsidRDefault="005C72CE" w:rsidP="00EF1DDD">
      <w:r>
        <w:separator/>
      </w:r>
    </w:p>
  </w:endnote>
  <w:endnote w:type="continuationSeparator" w:id="0">
    <w:p w:rsidR="005C72CE" w:rsidRDefault="005C72CE" w:rsidP="00EF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5C" w:rsidRDefault="0030055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289187"/>
      <w:docPartObj>
        <w:docPartGallery w:val="Page Numbers (Bottom of Page)"/>
        <w:docPartUnique/>
      </w:docPartObj>
    </w:sdtPr>
    <w:sdtEndPr/>
    <w:sdtContent>
      <w:p w:rsidR="00971AD4" w:rsidRDefault="00971AD4">
        <w:pPr>
          <w:pStyle w:val="a5"/>
          <w:jc w:val="center"/>
        </w:pPr>
        <w:r>
          <w:fldChar w:fldCharType="begin"/>
        </w:r>
        <w:r>
          <w:instrText>PAGE   \* MERGEFORMAT</w:instrText>
        </w:r>
        <w:r>
          <w:fldChar w:fldCharType="separate"/>
        </w:r>
        <w:r w:rsidR="000556A2">
          <w:rPr>
            <w:noProof/>
          </w:rPr>
          <w:t>1132</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5C" w:rsidRDefault="003005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CE" w:rsidRDefault="005C72CE" w:rsidP="00EF1DDD">
      <w:r>
        <w:separator/>
      </w:r>
    </w:p>
  </w:footnote>
  <w:footnote w:type="continuationSeparator" w:id="0">
    <w:p w:rsidR="005C72CE" w:rsidRDefault="005C72CE" w:rsidP="00EF1DDD">
      <w:r>
        <w:continuationSeparator/>
      </w:r>
    </w:p>
  </w:footnote>
  <w:footnote w:id="1">
    <w:p w:rsidR="00971AD4" w:rsidRPr="00971AD4" w:rsidRDefault="00971AD4" w:rsidP="00971AD4">
      <w:pPr>
        <w:pStyle w:val="a7"/>
        <w:jc w:val="left"/>
        <w:rPr>
          <w:lang w:val="en-US"/>
        </w:rPr>
      </w:pPr>
      <w:r>
        <w:rPr>
          <w:rStyle w:val="a9"/>
        </w:rPr>
        <w:footnoteRef/>
      </w:r>
      <w:r w:rsidRPr="00971AD4">
        <w:rPr>
          <w:lang w:val="en-US"/>
        </w:rPr>
        <w:t xml:space="preserve"> Post-Doctoral Researcher, Georgia Institute of Technology, Atlanta, US, </w:t>
      </w:r>
      <w:r w:rsidRPr="00971AD4">
        <w:rPr>
          <w:rStyle w:val="1"/>
          <w:lang w:val="en-US"/>
        </w:rPr>
        <w:t>nefiseshaban@gmail.com</w:t>
      </w:r>
    </w:p>
  </w:footnote>
  <w:footnote w:id="2">
    <w:p w:rsidR="00971AD4" w:rsidRPr="00971AD4" w:rsidRDefault="00971AD4" w:rsidP="00971AD4">
      <w:pPr>
        <w:pStyle w:val="a7"/>
        <w:rPr>
          <w:lang w:val="en-US"/>
        </w:rPr>
      </w:pPr>
      <w:r>
        <w:rPr>
          <w:rStyle w:val="a9"/>
        </w:rPr>
        <w:footnoteRef/>
      </w:r>
      <w:r w:rsidRPr="00971AD4">
        <w:rPr>
          <w:lang w:val="en-US"/>
        </w:rPr>
        <w:t xml:space="preserve"> Instructor, Doctor, Middle East Technical University, Civil Engineering Department, Ankara, Turkey, </w:t>
      </w:r>
      <w:r w:rsidRPr="00971AD4">
        <w:rPr>
          <w:rStyle w:val="1"/>
          <w:lang w:val="en-US"/>
        </w:rPr>
        <w:t>shaghkn@metu.edu.tr</w:t>
      </w:r>
    </w:p>
  </w:footnote>
  <w:footnote w:id="3">
    <w:p w:rsidR="00971AD4" w:rsidRPr="00971AD4" w:rsidRDefault="00971AD4" w:rsidP="00971AD4">
      <w:pPr>
        <w:pStyle w:val="a7"/>
        <w:rPr>
          <w:lang w:val="en-US"/>
        </w:rPr>
      </w:pPr>
      <w:r>
        <w:rPr>
          <w:rStyle w:val="a9"/>
        </w:rPr>
        <w:footnoteRef/>
      </w:r>
      <w:r w:rsidRPr="00971AD4">
        <w:rPr>
          <w:lang w:val="en-US"/>
        </w:rPr>
        <w:t xml:space="preserve"> Professor, Middle East Technical University, Departments of Civil Engineering and Earthquake Studies, Ankara, Turkey, </w:t>
      </w:r>
      <w:r w:rsidRPr="00971AD4">
        <w:rPr>
          <w:rStyle w:val="1"/>
          <w:lang w:val="en-US"/>
        </w:rPr>
        <w:t>aaskan@metu.edu.tr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5C" w:rsidRDefault="0030055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1AD4" w:rsidRDefault="00971AD4">
    <w:pPr>
      <w:pStyle w:val="a3"/>
    </w:pPr>
    <w:r>
      <w:rPr>
        <w:noProof/>
      </w:rPr>
      <w:drawing>
        <wp:anchor distT="0" distB="0" distL="114300" distR="114300" simplePos="0" relativeHeight="251659264" behindDoc="0" locked="0" layoutInCell="1" allowOverlap="1" wp14:anchorId="421DD1C1" wp14:editId="0D04BBB9">
          <wp:simplePos x="0" y="0"/>
          <wp:positionH relativeFrom="column">
            <wp:posOffset>1263015</wp:posOffset>
          </wp:positionH>
          <wp:positionV relativeFrom="paragraph">
            <wp:posOffset>306070</wp:posOffset>
          </wp:positionV>
          <wp:extent cx="3853180" cy="1103630"/>
          <wp:effectExtent l="0" t="0" r="0" b="127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53180" cy="11036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55C" w:rsidRDefault="0030055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D4"/>
    <w:rsid w:val="000556A2"/>
    <w:rsid w:val="0030055C"/>
    <w:rsid w:val="005C72CE"/>
    <w:rsid w:val="00971AD4"/>
    <w:rsid w:val="00A234DD"/>
    <w:rsid w:val="00C331AE"/>
    <w:rsid w:val="00EF1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DD"/>
    <w:pPr>
      <w:tabs>
        <w:tab w:val="center" w:pos="4677"/>
        <w:tab w:val="right" w:pos="9355"/>
      </w:tabs>
    </w:pPr>
  </w:style>
  <w:style w:type="character" w:customStyle="1" w:styleId="a4">
    <w:name w:val="Верхний колонтитул Знак"/>
    <w:basedOn w:val="a0"/>
    <w:link w:val="a3"/>
    <w:uiPriority w:val="99"/>
    <w:rsid w:val="00EF1DDD"/>
  </w:style>
  <w:style w:type="paragraph" w:styleId="a5">
    <w:name w:val="footer"/>
    <w:basedOn w:val="a"/>
    <w:link w:val="a6"/>
    <w:uiPriority w:val="99"/>
    <w:unhideWhenUsed/>
    <w:rsid w:val="00EF1DDD"/>
    <w:pPr>
      <w:tabs>
        <w:tab w:val="center" w:pos="4677"/>
        <w:tab w:val="right" w:pos="9355"/>
      </w:tabs>
    </w:pPr>
  </w:style>
  <w:style w:type="character" w:customStyle="1" w:styleId="a6">
    <w:name w:val="Нижний колонтитул Знак"/>
    <w:basedOn w:val="a0"/>
    <w:link w:val="a5"/>
    <w:uiPriority w:val="99"/>
    <w:rsid w:val="00EF1DDD"/>
  </w:style>
  <w:style w:type="paragraph" w:styleId="a7">
    <w:name w:val="footnote text"/>
    <w:basedOn w:val="a"/>
    <w:link w:val="a8"/>
    <w:uiPriority w:val="99"/>
    <w:semiHidden/>
    <w:unhideWhenUsed/>
    <w:rsid w:val="00971AD4"/>
    <w:rPr>
      <w:sz w:val="20"/>
      <w:szCs w:val="20"/>
    </w:rPr>
  </w:style>
  <w:style w:type="character" w:customStyle="1" w:styleId="a8">
    <w:name w:val="Текст сноски Знак"/>
    <w:basedOn w:val="a0"/>
    <w:link w:val="a7"/>
    <w:uiPriority w:val="99"/>
    <w:semiHidden/>
    <w:rsid w:val="00971AD4"/>
    <w:rPr>
      <w:sz w:val="20"/>
      <w:szCs w:val="20"/>
    </w:rPr>
  </w:style>
  <w:style w:type="character" w:styleId="a9">
    <w:name w:val="footnote reference"/>
    <w:basedOn w:val="a0"/>
    <w:rsid w:val="00971AD4"/>
    <w:rPr>
      <w:rFonts w:ascii="Times New Roman" w:hAnsi="Times New Roman"/>
      <w:sz w:val="22"/>
      <w:vertAlign w:val="superscript"/>
    </w:rPr>
  </w:style>
  <w:style w:type="character" w:customStyle="1" w:styleId="1">
    <w:name w:val="Гиперссылка1"/>
    <w:basedOn w:val="a0"/>
    <w:rsid w:val="00971AD4"/>
    <w:rPr>
      <w:rFonts w:ascii="Times New Roman" w:hAnsi="Times New Roman"/>
      <w:color w:val="0000FF"/>
      <w:sz w:val="2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1DDD"/>
    <w:pPr>
      <w:tabs>
        <w:tab w:val="center" w:pos="4677"/>
        <w:tab w:val="right" w:pos="9355"/>
      </w:tabs>
    </w:pPr>
  </w:style>
  <w:style w:type="character" w:customStyle="1" w:styleId="a4">
    <w:name w:val="Верхний колонтитул Знак"/>
    <w:basedOn w:val="a0"/>
    <w:link w:val="a3"/>
    <w:uiPriority w:val="99"/>
    <w:rsid w:val="00EF1DDD"/>
  </w:style>
  <w:style w:type="paragraph" w:styleId="a5">
    <w:name w:val="footer"/>
    <w:basedOn w:val="a"/>
    <w:link w:val="a6"/>
    <w:uiPriority w:val="99"/>
    <w:unhideWhenUsed/>
    <w:rsid w:val="00EF1DDD"/>
    <w:pPr>
      <w:tabs>
        <w:tab w:val="center" w:pos="4677"/>
        <w:tab w:val="right" w:pos="9355"/>
      </w:tabs>
    </w:pPr>
  </w:style>
  <w:style w:type="character" w:customStyle="1" w:styleId="a6">
    <w:name w:val="Нижний колонтитул Знак"/>
    <w:basedOn w:val="a0"/>
    <w:link w:val="a5"/>
    <w:uiPriority w:val="99"/>
    <w:rsid w:val="00EF1DDD"/>
  </w:style>
  <w:style w:type="paragraph" w:styleId="a7">
    <w:name w:val="footnote text"/>
    <w:basedOn w:val="a"/>
    <w:link w:val="a8"/>
    <w:uiPriority w:val="99"/>
    <w:semiHidden/>
    <w:unhideWhenUsed/>
    <w:rsid w:val="00971AD4"/>
    <w:rPr>
      <w:sz w:val="20"/>
      <w:szCs w:val="20"/>
    </w:rPr>
  </w:style>
  <w:style w:type="character" w:customStyle="1" w:styleId="a8">
    <w:name w:val="Текст сноски Знак"/>
    <w:basedOn w:val="a0"/>
    <w:link w:val="a7"/>
    <w:uiPriority w:val="99"/>
    <w:semiHidden/>
    <w:rsid w:val="00971AD4"/>
    <w:rPr>
      <w:sz w:val="20"/>
      <w:szCs w:val="20"/>
    </w:rPr>
  </w:style>
  <w:style w:type="character" w:styleId="a9">
    <w:name w:val="footnote reference"/>
    <w:basedOn w:val="a0"/>
    <w:rsid w:val="00971AD4"/>
    <w:rPr>
      <w:rFonts w:ascii="Times New Roman" w:hAnsi="Times New Roman"/>
      <w:sz w:val="22"/>
      <w:vertAlign w:val="superscript"/>
    </w:rPr>
  </w:style>
  <w:style w:type="character" w:customStyle="1" w:styleId="1">
    <w:name w:val="Гиперссылка1"/>
    <w:basedOn w:val="a0"/>
    <w:rsid w:val="00971AD4"/>
    <w:rPr>
      <w:rFonts w:ascii="Times New Roman" w:hAnsi="Times New Roman"/>
      <w:color w:val="0000FF"/>
      <w:sz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harlamova\AppData\Roaming\Microsoft\&#1064;&#1072;&#1073;&#1083;&#1086;&#1085;&#1099;\Dot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Dot2.dotx</Template>
  <TotalTime>4</TotalTime>
  <Pages>1</Pages>
  <Words>279</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УФПС Г. Москвы. Московский межрайонный почтамт № 3</Company>
  <LinksUpToDate>false</LinksUpToDate>
  <CharactersWithSpaces>1872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Администратор</cp:lastModifiedBy>
  <cp:revision>3</cp:revision>
  <dcterms:created xsi:type="dcterms:W3CDTF">2020-06-26T10:53:00Z</dcterms:created>
  <dcterms:modified xsi:type="dcterms:W3CDTF">2021-05-12T15:25:00Z</dcterms:modified>
</cp:coreProperties>
</file>